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к  постановлению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 xml:space="preserve">от </w:t>
      </w:r>
      <w:r w:rsidR="00911A8E">
        <w:rPr>
          <w:spacing w:val="-12"/>
          <w:sz w:val="28"/>
          <w:szCs w:val="28"/>
        </w:rPr>
        <w:t>21.12.25018</w:t>
      </w:r>
      <w:r w:rsidRPr="00792F22">
        <w:rPr>
          <w:spacing w:val="-12"/>
          <w:sz w:val="28"/>
          <w:szCs w:val="28"/>
        </w:rPr>
        <w:t xml:space="preserve"> № </w:t>
      </w:r>
      <w:r w:rsidR="00911A8E">
        <w:rPr>
          <w:spacing w:val="-12"/>
          <w:sz w:val="28"/>
          <w:szCs w:val="28"/>
        </w:rPr>
        <w:t>285</w:t>
      </w:r>
    </w:p>
    <w:p w:rsidR="000E7B57" w:rsidRPr="00792F22" w:rsidRDefault="000E7B57" w:rsidP="000E7B57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«ПРИЛОЖЕНИЕ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УТВЕРЖДЕНА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постановлением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</w:t>
      </w:r>
      <w:r w:rsidR="006B6BE8">
        <w:rPr>
          <w:spacing w:val="-12"/>
          <w:sz w:val="28"/>
          <w:szCs w:val="28"/>
        </w:rPr>
        <w:t xml:space="preserve">  17.10.2017 </w:t>
      </w:r>
      <w:r w:rsidRPr="00792F22">
        <w:rPr>
          <w:spacing w:val="-12"/>
          <w:sz w:val="28"/>
          <w:szCs w:val="28"/>
        </w:rPr>
        <w:t xml:space="preserve">№ </w:t>
      </w:r>
      <w:r w:rsidR="006B6BE8">
        <w:rPr>
          <w:spacing w:val="-12"/>
          <w:sz w:val="28"/>
          <w:szCs w:val="28"/>
        </w:rPr>
        <w:t xml:space="preserve"> 222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proofErr w:type="gramStart"/>
      <w:r w:rsidRPr="00792F22">
        <w:rPr>
          <w:spacing w:val="-12"/>
          <w:sz w:val="28"/>
          <w:szCs w:val="28"/>
        </w:rPr>
        <w:t>(в редакции  постановления</w:t>
      </w:r>
      <w:proofErr w:type="gramEnd"/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 xml:space="preserve">администрации Новотаманского </w:t>
      </w:r>
      <w:proofErr w:type="gramStart"/>
      <w:r w:rsidRPr="00792F22">
        <w:rPr>
          <w:spacing w:val="-12"/>
          <w:sz w:val="28"/>
          <w:szCs w:val="28"/>
        </w:rPr>
        <w:t>сельского</w:t>
      </w:r>
      <w:proofErr w:type="gramEnd"/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поселения Темрюкского района</w:t>
      </w:r>
    </w:p>
    <w:p w:rsidR="000E7B57" w:rsidRPr="00792F22" w:rsidRDefault="000E7B57" w:rsidP="000E7B57">
      <w:pPr>
        <w:ind w:left="4820"/>
        <w:jc w:val="center"/>
        <w:rPr>
          <w:sz w:val="28"/>
          <w:szCs w:val="28"/>
        </w:rPr>
      </w:pPr>
      <w:r w:rsidRPr="00792F22">
        <w:rPr>
          <w:spacing w:val="-12"/>
          <w:sz w:val="28"/>
          <w:szCs w:val="28"/>
        </w:rPr>
        <w:t xml:space="preserve">от </w:t>
      </w:r>
      <w:r w:rsidR="00911A8E">
        <w:rPr>
          <w:spacing w:val="-12"/>
          <w:sz w:val="28"/>
          <w:szCs w:val="28"/>
        </w:rPr>
        <w:t xml:space="preserve">21.12ю.2018 </w:t>
      </w:r>
      <w:r w:rsidRPr="00792F22">
        <w:rPr>
          <w:spacing w:val="-12"/>
          <w:sz w:val="28"/>
          <w:szCs w:val="28"/>
        </w:rPr>
        <w:t xml:space="preserve">№ </w:t>
      </w:r>
      <w:r w:rsidR="00911A8E">
        <w:rPr>
          <w:spacing w:val="-12"/>
          <w:sz w:val="28"/>
          <w:szCs w:val="28"/>
        </w:rPr>
        <w:t>285</w:t>
      </w:r>
      <w:r w:rsidRPr="00792F22">
        <w:rPr>
          <w:spacing w:val="-12"/>
          <w:sz w:val="28"/>
          <w:szCs w:val="28"/>
        </w:rPr>
        <w:t>)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26801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 xml:space="preserve">овершенствование системы </w:t>
            </w:r>
            <w:proofErr w:type="gramStart"/>
            <w:r w:rsidRPr="00351C0D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 xml:space="preserve">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830D44">
              <w:rPr>
                <w:color w:val="000000"/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E517AF" w:rsidRPr="00830D44">
              <w:rPr>
                <w:color w:val="000000"/>
                <w:sz w:val="28"/>
                <w:szCs w:val="28"/>
              </w:rPr>
              <w:t>5</w:t>
            </w:r>
            <w:r w:rsidR="00830D44" w:rsidRPr="00830D44">
              <w:rPr>
                <w:color w:val="000000"/>
                <w:sz w:val="28"/>
                <w:szCs w:val="28"/>
              </w:rPr>
              <w:t>605,1</w:t>
            </w:r>
            <w:r w:rsidRPr="00830D44">
              <w:rPr>
                <w:sz w:val="28"/>
                <w:szCs w:val="28"/>
              </w:rPr>
              <w:t xml:space="preserve"> тысяч </w:t>
            </w:r>
            <w:proofErr w:type="gramStart"/>
            <w:r w:rsidRPr="00830D44">
              <w:rPr>
                <w:sz w:val="28"/>
                <w:szCs w:val="28"/>
              </w:rPr>
              <w:t>рублей</w:t>
            </w:r>
            <w:proofErr w:type="gramEnd"/>
            <w:r w:rsidR="000E7B57" w:rsidRPr="00830D44">
              <w:rPr>
                <w:sz w:val="28"/>
                <w:szCs w:val="28"/>
              </w:rPr>
              <w:t xml:space="preserve"> в том числе 2018 год</w:t>
            </w:r>
            <w:r w:rsidR="00151547" w:rsidRPr="00830D44">
              <w:rPr>
                <w:sz w:val="28"/>
                <w:szCs w:val="28"/>
              </w:rPr>
              <w:t xml:space="preserve"> </w:t>
            </w:r>
            <w:r w:rsidR="00830D44" w:rsidRPr="00830D44">
              <w:rPr>
                <w:sz w:val="28"/>
                <w:szCs w:val="28"/>
              </w:rPr>
              <w:t>–</w:t>
            </w:r>
            <w:r w:rsidR="00151547" w:rsidRPr="00830D44">
              <w:rPr>
                <w:sz w:val="28"/>
                <w:szCs w:val="28"/>
              </w:rPr>
              <w:t xml:space="preserve"> </w:t>
            </w:r>
            <w:r w:rsidR="00E517AF" w:rsidRPr="00830D44">
              <w:rPr>
                <w:sz w:val="28"/>
                <w:szCs w:val="28"/>
              </w:rPr>
              <w:t>3</w:t>
            </w:r>
            <w:r w:rsidR="00830D44" w:rsidRPr="00830D44">
              <w:rPr>
                <w:sz w:val="28"/>
                <w:szCs w:val="28"/>
              </w:rPr>
              <w:t>355,1</w:t>
            </w:r>
            <w:r w:rsidR="00151547" w:rsidRPr="00830D44">
              <w:rPr>
                <w:sz w:val="28"/>
                <w:szCs w:val="28"/>
              </w:rPr>
              <w:t xml:space="preserve"> </w:t>
            </w:r>
            <w:r w:rsidR="00B557DA" w:rsidRPr="00830D44">
              <w:rPr>
                <w:sz w:val="28"/>
                <w:szCs w:val="28"/>
              </w:rPr>
              <w:t>тыс</w:t>
            </w:r>
            <w:r w:rsidR="00151547" w:rsidRPr="00830D44">
              <w:rPr>
                <w:sz w:val="28"/>
                <w:szCs w:val="28"/>
              </w:rPr>
              <w:t xml:space="preserve">яч </w:t>
            </w:r>
            <w:r w:rsidR="00B557DA" w:rsidRPr="00830D44">
              <w:rPr>
                <w:sz w:val="28"/>
                <w:szCs w:val="28"/>
              </w:rPr>
              <w:t xml:space="preserve">рублей, 2019 </w:t>
            </w:r>
            <w:r w:rsidR="00A7444B" w:rsidRPr="00830D44">
              <w:rPr>
                <w:sz w:val="28"/>
                <w:szCs w:val="28"/>
              </w:rPr>
              <w:t>год 1</w:t>
            </w:r>
            <w:r w:rsidR="00E517AF" w:rsidRPr="00830D44">
              <w:rPr>
                <w:sz w:val="28"/>
                <w:szCs w:val="28"/>
              </w:rPr>
              <w:t>25</w:t>
            </w:r>
            <w:r w:rsidR="00A7444B" w:rsidRPr="00830D44">
              <w:rPr>
                <w:sz w:val="28"/>
                <w:szCs w:val="28"/>
              </w:rPr>
              <w:t>0,0</w:t>
            </w:r>
            <w:r w:rsidR="00E517AF" w:rsidRPr="00830D44">
              <w:rPr>
                <w:sz w:val="28"/>
                <w:szCs w:val="28"/>
              </w:rPr>
              <w:t xml:space="preserve"> </w:t>
            </w:r>
            <w:r w:rsidR="00A7444B" w:rsidRPr="00830D44">
              <w:rPr>
                <w:sz w:val="28"/>
                <w:szCs w:val="28"/>
              </w:rPr>
              <w:t>тыс</w:t>
            </w:r>
            <w:r w:rsidR="00151547" w:rsidRPr="00830D44">
              <w:rPr>
                <w:sz w:val="28"/>
                <w:szCs w:val="28"/>
              </w:rPr>
              <w:t xml:space="preserve">яч </w:t>
            </w:r>
            <w:r w:rsidR="00A7444B" w:rsidRPr="00830D44">
              <w:rPr>
                <w:sz w:val="28"/>
                <w:szCs w:val="28"/>
              </w:rPr>
              <w:t>рублей</w:t>
            </w:r>
            <w:r w:rsidR="00151547" w:rsidRPr="00830D44">
              <w:rPr>
                <w:sz w:val="28"/>
                <w:szCs w:val="28"/>
              </w:rPr>
              <w:t>,</w:t>
            </w:r>
            <w:r w:rsidR="00A7444B" w:rsidRPr="00830D44">
              <w:rPr>
                <w:sz w:val="28"/>
                <w:szCs w:val="28"/>
              </w:rPr>
              <w:t xml:space="preserve"> 2020 год</w:t>
            </w:r>
            <w:r w:rsidR="00151547" w:rsidRPr="00830D44">
              <w:rPr>
                <w:sz w:val="28"/>
                <w:szCs w:val="28"/>
              </w:rPr>
              <w:t xml:space="preserve"> </w:t>
            </w:r>
            <w:r w:rsidR="00A7444B" w:rsidRPr="00830D44">
              <w:rPr>
                <w:sz w:val="28"/>
                <w:szCs w:val="28"/>
              </w:rPr>
              <w:t>-</w:t>
            </w:r>
            <w:r w:rsidR="00151547" w:rsidRPr="00830D44">
              <w:rPr>
                <w:sz w:val="28"/>
                <w:szCs w:val="28"/>
              </w:rPr>
              <w:t xml:space="preserve"> </w:t>
            </w:r>
            <w:r w:rsidR="00A7444B" w:rsidRPr="00830D44">
              <w:rPr>
                <w:sz w:val="28"/>
                <w:szCs w:val="28"/>
              </w:rPr>
              <w:t>1000</w:t>
            </w:r>
            <w:r w:rsidR="00B557DA" w:rsidRPr="00830D44">
              <w:rPr>
                <w:sz w:val="28"/>
                <w:szCs w:val="28"/>
              </w:rPr>
              <w:t>,0 тыс</w:t>
            </w:r>
            <w:r w:rsidR="00151547" w:rsidRPr="00830D44">
              <w:rPr>
                <w:sz w:val="28"/>
                <w:szCs w:val="28"/>
              </w:rPr>
              <w:t xml:space="preserve">яч </w:t>
            </w:r>
            <w:r w:rsidR="00B557DA" w:rsidRPr="00830D44">
              <w:rPr>
                <w:sz w:val="28"/>
                <w:szCs w:val="28"/>
              </w:rPr>
              <w:t>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B6BE8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6F2CE5"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B6BE8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F2CE5"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0E7B57" w:rsidRDefault="000E7B57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B6BE8" w:rsidRDefault="006B6BE8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1276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2018 год</w:t>
            </w:r>
            <w:r w:rsidRPr="007B10B6">
              <w:t xml:space="preserve"> 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276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0268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F01B57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1328,6</w:t>
            </w:r>
          </w:p>
        </w:tc>
        <w:tc>
          <w:tcPr>
            <w:tcW w:w="1134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ющих требованиям градостроительных, экологических норм и правил, технических регламентов, </w:t>
            </w:r>
            <w:proofErr w:type="spellStart"/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ГОСТа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Новотаманского сельского поселения Темрюкског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</w:t>
            </w:r>
          </w:p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7D" w:rsidRPr="00D05270" w:rsidTr="000E7B57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F01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1559,9</w:t>
            </w:r>
          </w:p>
        </w:tc>
        <w:tc>
          <w:tcPr>
            <w:tcW w:w="1134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4D21B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D05270" w:rsidTr="000E7B57">
        <w:tc>
          <w:tcPr>
            <w:tcW w:w="539" w:type="dxa"/>
          </w:tcPr>
          <w:p w:rsidR="000E7B57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0E7B57" w:rsidRPr="00E17A85" w:rsidRDefault="000E7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E7B57" w:rsidRDefault="00F01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305,1</w:t>
            </w:r>
          </w:p>
        </w:tc>
        <w:tc>
          <w:tcPr>
            <w:tcW w:w="1134" w:type="dxa"/>
          </w:tcPr>
          <w:p w:rsidR="000E7B57" w:rsidRDefault="00E517AF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gridSpan w:val="2"/>
          </w:tcPr>
          <w:p w:rsidR="000E7B57" w:rsidRPr="00413048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26801" w:rsidRPr="00D05270" w:rsidTr="000E7B57">
        <w:tc>
          <w:tcPr>
            <w:tcW w:w="539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026801" w:rsidRPr="00026801" w:rsidRDefault="00F01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Дорожная разметка</w:t>
            </w:r>
          </w:p>
        </w:tc>
        <w:tc>
          <w:tcPr>
            <w:tcW w:w="990" w:type="dxa"/>
          </w:tcPr>
          <w:p w:rsidR="00026801" w:rsidRPr="00E17A85" w:rsidRDefault="0002680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F01B57" w:rsidRPr="00D05270" w:rsidTr="000E7B57">
        <w:tc>
          <w:tcPr>
            <w:tcW w:w="539" w:type="dxa"/>
          </w:tcPr>
          <w:p w:rsidR="00F01B57" w:rsidRDefault="00F01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8" w:type="dxa"/>
          </w:tcPr>
          <w:p w:rsidR="00F01B57" w:rsidRDefault="00F01B57" w:rsidP="00F01B5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мест остановки общественного транспорта</w:t>
            </w:r>
          </w:p>
        </w:tc>
        <w:tc>
          <w:tcPr>
            <w:tcW w:w="990" w:type="dxa"/>
          </w:tcPr>
          <w:p w:rsidR="00F01B57" w:rsidRPr="00E17A85" w:rsidRDefault="00F01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F01B57" w:rsidRDefault="00F01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F01B57" w:rsidRDefault="00F01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1B57" w:rsidRDefault="00F01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F01B57" w:rsidRDefault="00F01B57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остановочного павильона</w:t>
            </w:r>
          </w:p>
        </w:tc>
        <w:tc>
          <w:tcPr>
            <w:tcW w:w="1553" w:type="dxa"/>
          </w:tcPr>
          <w:p w:rsidR="00F01B57" w:rsidRPr="00E17A85" w:rsidRDefault="00F01B57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0E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F01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5605,1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F01B57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3355,1</w:t>
            </w:r>
          </w:p>
        </w:tc>
        <w:tc>
          <w:tcPr>
            <w:tcW w:w="1134" w:type="dxa"/>
          </w:tcPr>
          <w:p w:rsidR="00A72D7D" w:rsidRPr="00E17A85" w:rsidRDefault="00A7444B" w:rsidP="00E517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7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F01B57">
        <w:rPr>
          <w:color w:val="000000"/>
          <w:sz w:val="28"/>
          <w:szCs w:val="28"/>
        </w:rPr>
        <w:t>5605,1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83B52">
        <w:rPr>
          <w:color w:val="000000"/>
          <w:sz w:val="28"/>
          <w:szCs w:val="28"/>
        </w:rPr>
        <w:t>в том числе 2018 год-</w:t>
      </w:r>
      <w:r w:rsidR="00F01B57">
        <w:rPr>
          <w:color w:val="000000"/>
          <w:sz w:val="28"/>
          <w:szCs w:val="28"/>
        </w:rPr>
        <w:t>3355,1</w:t>
      </w:r>
      <w:r w:rsidR="00B557DA">
        <w:rPr>
          <w:color w:val="000000"/>
          <w:sz w:val="28"/>
          <w:szCs w:val="28"/>
        </w:rPr>
        <w:t xml:space="preserve">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>р</w:t>
      </w:r>
      <w:r w:rsidR="00A7444B">
        <w:rPr>
          <w:color w:val="000000"/>
          <w:sz w:val="28"/>
          <w:szCs w:val="28"/>
        </w:rPr>
        <w:t>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2019- 1</w:t>
      </w:r>
      <w:r w:rsidR="00E517AF">
        <w:rPr>
          <w:color w:val="000000"/>
          <w:sz w:val="28"/>
          <w:szCs w:val="28"/>
        </w:rPr>
        <w:t>25</w:t>
      </w:r>
      <w:r w:rsidR="00A7444B">
        <w:rPr>
          <w:color w:val="000000"/>
          <w:sz w:val="28"/>
          <w:szCs w:val="28"/>
        </w:rPr>
        <w:t>0,0</w:t>
      </w:r>
      <w:r w:rsidR="00E517AF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t>тыс</w:t>
      </w:r>
      <w:r w:rsidR="00E517AF">
        <w:rPr>
          <w:color w:val="000000"/>
          <w:sz w:val="28"/>
          <w:szCs w:val="28"/>
        </w:rPr>
        <w:t xml:space="preserve">яч </w:t>
      </w:r>
      <w:r w:rsidR="00A7444B">
        <w:rPr>
          <w:color w:val="000000"/>
          <w:sz w:val="28"/>
          <w:szCs w:val="28"/>
        </w:rPr>
        <w:t>рублей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2020-1000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 xml:space="preserve">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6B6BE8" w:rsidRDefault="006F2CE5" w:rsidP="006B6BE8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  <w:r w:rsidR="006B6BE8">
        <w:rPr>
          <w:b/>
          <w:sz w:val="28"/>
          <w:szCs w:val="28"/>
        </w:rPr>
        <w:t xml:space="preserve"> </w:t>
      </w: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BE8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имущественных</w:t>
      </w:r>
      <w:proofErr w:type="gramEnd"/>
      <w:r w:rsidR="006B6BE8">
        <w:rPr>
          <w:sz w:val="28"/>
          <w:szCs w:val="28"/>
        </w:rPr>
        <w:t xml:space="preserve"> </w:t>
      </w:r>
    </w:p>
    <w:p w:rsidR="006B6BE8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и вопросов </w:t>
      </w:r>
    </w:p>
    <w:p w:rsidR="00250B6A" w:rsidRPr="00B70FF0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="006B6BE8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Барботько</w:t>
      </w:r>
      <w:proofErr w:type="spellEnd"/>
    </w:p>
    <w:p w:rsidR="006F2CE5" w:rsidRDefault="006F2CE5" w:rsidP="00250B6A">
      <w:pPr>
        <w:shd w:val="clear" w:color="auto" w:fill="FFFFFF"/>
        <w:contextualSpacing/>
        <w:jc w:val="both"/>
      </w:pP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F5E" w:rsidRDefault="00180F5E" w:rsidP="00E716A1">
      <w:r>
        <w:separator/>
      </w:r>
    </w:p>
  </w:endnote>
  <w:endnote w:type="continuationSeparator" w:id="1">
    <w:p w:rsidR="00180F5E" w:rsidRDefault="00180F5E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F5E" w:rsidRDefault="00180F5E" w:rsidP="00E716A1">
      <w:r>
        <w:separator/>
      </w:r>
    </w:p>
  </w:footnote>
  <w:footnote w:type="continuationSeparator" w:id="1">
    <w:p w:rsidR="00180F5E" w:rsidRDefault="00180F5E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DC3051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911A8E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57930"/>
    <w:rsid w:val="000A1B1A"/>
    <w:rsid w:val="000B0312"/>
    <w:rsid w:val="000B5A47"/>
    <w:rsid w:val="000C086D"/>
    <w:rsid w:val="000D0D1C"/>
    <w:rsid w:val="000E7B57"/>
    <w:rsid w:val="0012131F"/>
    <w:rsid w:val="00151547"/>
    <w:rsid w:val="00157130"/>
    <w:rsid w:val="00180F5E"/>
    <w:rsid w:val="001B5177"/>
    <w:rsid w:val="001F2424"/>
    <w:rsid w:val="00217A29"/>
    <w:rsid w:val="00217D1A"/>
    <w:rsid w:val="0024109E"/>
    <w:rsid w:val="002508C8"/>
    <w:rsid w:val="00250B6A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4D21BA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B6BE8"/>
    <w:rsid w:val="006F147D"/>
    <w:rsid w:val="006F2A59"/>
    <w:rsid w:val="006F2CE5"/>
    <w:rsid w:val="00702D0B"/>
    <w:rsid w:val="007104BC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30D44"/>
    <w:rsid w:val="008542A6"/>
    <w:rsid w:val="00884C58"/>
    <w:rsid w:val="008B2F55"/>
    <w:rsid w:val="008D7E54"/>
    <w:rsid w:val="00911A8E"/>
    <w:rsid w:val="00927DAE"/>
    <w:rsid w:val="009B57CF"/>
    <w:rsid w:val="009D2528"/>
    <w:rsid w:val="009E0DE3"/>
    <w:rsid w:val="009F2F2C"/>
    <w:rsid w:val="00A21F26"/>
    <w:rsid w:val="00A249CA"/>
    <w:rsid w:val="00A52182"/>
    <w:rsid w:val="00A640F8"/>
    <w:rsid w:val="00A72D7D"/>
    <w:rsid w:val="00A7444B"/>
    <w:rsid w:val="00A83B52"/>
    <w:rsid w:val="00AA0AF9"/>
    <w:rsid w:val="00AA79BE"/>
    <w:rsid w:val="00AC24A0"/>
    <w:rsid w:val="00AD054C"/>
    <w:rsid w:val="00AD18B8"/>
    <w:rsid w:val="00AD597F"/>
    <w:rsid w:val="00B372E4"/>
    <w:rsid w:val="00B557DA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3FF5"/>
    <w:rsid w:val="00D15A66"/>
    <w:rsid w:val="00D165D4"/>
    <w:rsid w:val="00D16A4E"/>
    <w:rsid w:val="00D549BF"/>
    <w:rsid w:val="00D73A26"/>
    <w:rsid w:val="00D97769"/>
    <w:rsid w:val="00DB04B6"/>
    <w:rsid w:val="00DC176E"/>
    <w:rsid w:val="00DC243B"/>
    <w:rsid w:val="00DC3051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716A1"/>
    <w:rsid w:val="00E96B3F"/>
    <w:rsid w:val="00ED2BF1"/>
    <w:rsid w:val="00EE0E02"/>
    <w:rsid w:val="00EE2940"/>
    <w:rsid w:val="00EF48B7"/>
    <w:rsid w:val="00F01943"/>
    <w:rsid w:val="00F01B57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6</Pages>
  <Words>1033</Words>
  <Characters>8433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53</cp:revision>
  <cp:lastPrinted>2018-12-20T10:56:00Z</cp:lastPrinted>
  <dcterms:created xsi:type="dcterms:W3CDTF">2015-02-10T13:00:00Z</dcterms:created>
  <dcterms:modified xsi:type="dcterms:W3CDTF">2018-12-24T13:27:00Z</dcterms:modified>
</cp:coreProperties>
</file>