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57" w:rsidRDefault="00201557" w:rsidP="00201557">
      <w:pPr>
        <w:ind w:left="4536"/>
        <w:jc w:val="center"/>
        <w:rPr>
          <w:sz w:val="28"/>
          <w:szCs w:val="28"/>
        </w:rPr>
      </w:pPr>
      <w:r>
        <w:rPr>
          <w:sz w:val="28"/>
          <w:szCs w:val="28"/>
        </w:rPr>
        <w:t xml:space="preserve">ПРИЛОЖЕНИЕ № </w:t>
      </w:r>
      <w:r w:rsidR="00D4113C">
        <w:rPr>
          <w:sz w:val="28"/>
          <w:szCs w:val="28"/>
        </w:rPr>
        <w:t>2</w:t>
      </w:r>
    </w:p>
    <w:p w:rsidR="00201557" w:rsidRDefault="00201557" w:rsidP="00201557">
      <w:pPr>
        <w:ind w:left="4536"/>
        <w:jc w:val="center"/>
        <w:rPr>
          <w:sz w:val="28"/>
          <w:szCs w:val="28"/>
        </w:rPr>
      </w:pPr>
      <w:r>
        <w:rPr>
          <w:sz w:val="28"/>
          <w:szCs w:val="28"/>
        </w:rPr>
        <w:t>к постановлению администрации</w:t>
      </w:r>
    </w:p>
    <w:p w:rsidR="00201557" w:rsidRDefault="00201557" w:rsidP="00201557">
      <w:pPr>
        <w:ind w:left="4536"/>
        <w:jc w:val="center"/>
        <w:rPr>
          <w:sz w:val="28"/>
          <w:szCs w:val="28"/>
        </w:rPr>
      </w:pPr>
      <w:r>
        <w:rPr>
          <w:sz w:val="28"/>
          <w:szCs w:val="28"/>
        </w:rPr>
        <w:t>Новотаманского сельского поселения</w:t>
      </w:r>
    </w:p>
    <w:p w:rsidR="00201557" w:rsidRDefault="00201557" w:rsidP="00201557">
      <w:pPr>
        <w:ind w:left="4536"/>
        <w:jc w:val="center"/>
        <w:rPr>
          <w:sz w:val="28"/>
          <w:szCs w:val="28"/>
        </w:rPr>
      </w:pPr>
      <w:r>
        <w:rPr>
          <w:sz w:val="28"/>
          <w:szCs w:val="28"/>
        </w:rPr>
        <w:t>Темрюкского района</w:t>
      </w:r>
    </w:p>
    <w:p w:rsidR="00201557" w:rsidRDefault="00201557" w:rsidP="00201557">
      <w:pPr>
        <w:ind w:left="4536"/>
        <w:jc w:val="center"/>
        <w:rPr>
          <w:sz w:val="28"/>
          <w:szCs w:val="28"/>
        </w:rPr>
      </w:pPr>
      <w:r>
        <w:rPr>
          <w:sz w:val="28"/>
          <w:szCs w:val="28"/>
        </w:rPr>
        <w:t>от ________________ № __________</w:t>
      </w:r>
    </w:p>
    <w:p w:rsidR="00201557" w:rsidRDefault="00201557" w:rsidP="00201557">
      <w:pPr>
        <w:ind w:left="4536"/>
        <w:jc w:val="center"/>
        <w:rPr>
          <w:sz w:val="28"/>
          <w:szCs w:val="28"/>
        </w:rPr>
      </w:pPr>
      <w:r>
        <w:rPr>
          <w:sz w:val="28"/>
          <w:szCs w:val="28"/>
        </w:rPr>
        <w:t xml:space="preserve">«ПРИЛОЖЕНИЕ № </w:t>
      </w:r>
      <w:r w:rsidR="00D4113C">
        <w:rPr>
          <w:sz w:val="28"/>
          <w:szCs w:val="28"/>
        </w:rPr>
        <w:t>2</w:t>
      </w:r>
    </w:p>
    <w:p w:rsidR="00201557" w:rsidRDefault="00201557" w:rsidP="00201557">
      <w:pPr>
        <w:ind w:left="4536"/>
        <w:jc w:val="center"/>
        <w:rPr>
          <w:sz w:val="28"/>
          <w:szCs w:val="28"/>
        </w:rPr>
      </w:pPr>
    </w:p>
    <w:p w:rsidR="00201557" w:rsidRDefault="00201557" w:rsidP="00201557">
      <w:pPr>
        <w:ind w:left="4536"/>
        <w:jc w:val="center"/>
        <w:rPr>
          <w:sz w:val="28"/>
          <w:szCs w:val="28"/>
        </w:rPr>
      </w:pPr>
      <w:r>
        <w:rPr>
          <w:sz w:val="28"/>
          <w:szCs w:val="28"/>
        </w:rPr>
        <w:t>УТВЕРЖДЕН</w:t>
      </w:r>
    </w:p>
    <w:p w:rsidR="00201557" w:rsidRDefault="00201557" w:rsidP="00201557">
      <w:pPr>
        <w:ind w:left="4536"/>
        <w:jc w:val="center"/>
        <w:rPr>
          <w:sz w:val="28"/>
          <w:szCs w:val="28"/>
        </w:rPr>
      </w:pPr>
      <w:r>
        <w:rPr>
          <w:sz w:val="28"/>
          <w:szCs w:val="28"/>
        </w:rPr>
        <w:t>постановлением администрации Новотаманского сельского поселения</w:t>
      </w:r>
    </w:p>
    <w:p w:rsidR="00201557" w:rsidRDefault="00201557" w:rsidP="00201557">
      <w:pPr>
        <w:ind w:left="4536"/>
        <w:jc w:val="center"/>
        <w:rPr>
          <w:sz w:val="28"/>
          <w:szCs w:val="28"/>
        </w:rPr>
      </w:pPr>
      <w:r>
        <w:rPr>
          <w:sz w:val="28"/>
          <w:szCs w:val="28"/>
        </w:rPr>
        <w:t>Темрюкского района</w:t>
      </w:r>
    </w:p>
    <w:p w:rsidR="00201557" w:rsidRDefault="00201557" w:rsidP="00201557">
      <w:pPr>
        <w:ind w:left="4536"/>
        <w:jc w:val="center"/>
        <w:rPr>
          <w:sz w:val="28"/>
          <w:szCs w:val="28"/>
        </w:rPr>
      </w:pPr>
      <w:r>
        <w:rPr>
          <w:sz w:val="28"/>
          <w:szCs w:val="28"/>
        </w:rPr>
        <w:t>от ________________ № _________</w:t>
      </w:r>
    </w:p>
    <w:p w:rsidR="00201557" w:rsidRDefault="00201557" w:rsidP="00201557">
      <w:pPr>
        <w:ind w:left="4536"/>
        <w:jc w:val="center"/>
        <w:rPr>
          <w:sz w:val="28"/>
          <w:szCs w:val="28"/>
        </w:rPr>
      </w:pPr>
      <w:proofErr w:type="gramStart"/>
      <w:r>
        <w:rPr>
          <w:sz w:val="28"/>
          <w:szCs w:val="28"/>
        </w:rPr>
        <w:t>(в редакции постановления администрации Новотаманского сельского поселения Темрюкского района</w:t>
      </w:r>
      <w:proofErr w:type="gramEnd"/>
    </w:p>
    <w:p w:rsidR="00201557" w:rsidRDefault="00201557" w:rsidP="00201557">
      <w:pPr>
        <w:shd w:val="clear" w:color="auto" w:fill="FFFFFF"/>
        <w:tabs>
          <w:tab w:val="left" w:pos="1008"/>
        </w:tabs>
        <w:ind w:firstLine="4820"/>
        <w:jc w:val="center"/>
        <w:rPr>
          <w:spacing w:val="-12"/>
          <w:sz w:val="28"/>
          <w:szCs w:val="28"/>
        </w:rPr>
      </w:pPr>
      <w:r>
        <w:rPr>
          <w:sz w:val="28"/>
          <w:szCs w:val="28"/>
        </w:rPr>
        <w:t>от  ______________ № _________)</w:t>
      </w:r>
    </w:p>
    <w:p w:rsidR="00201557" w:rsidRDefault="00201557" w:rsidP="00201557">
      <w:pPr>
        <w:rPr>
          <w:sz w:val="28"/>
          <w:szCs w:val="28"/>
        </w:rPr>
      </w:pPr>
    </w:p>
    <w:p w:rsidR="00624569" w:rsidRDefault="00624569">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624569" w:rsidRDefault="006140F0">
      <w:pPr>
        <w:ind w:firstLine="900"/>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pPr>
        <w:ind w:right="-5" w:firstLine="900"/>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624569" w:rsidRDefault="006140F0">
      <w:pPr>
        <w:jc w:val="center"/>
        <w:outlineLvl w:val="0"/>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624569" w:rsidRDefault="006140F0">
      <w:pPr>
        <w:ind w:firstLine="737"/>
        <w:jc w:val="both"/>
        <w:outlineLvl w:val="0"/>
      </w:pPr>
      <w:proofErr w:type="gramStart"/>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w:t>
      </w:r>
      <w:proofErr w:type="gramEnd"/>
      <w:r>
        <w:rPr>
          <w:rFonts w:cs="Arial"/>
          <w:sz w:val="28"/>
          <w:szCs w:val="28"/>
        </w:rPr>
        <w:t xml:space="preserve">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624569" w:rsidRDefault="006140F0">
      <w:pPr>
        <w:jc w:val="center"/>
        <w:rPr>
          <w:b/>
          <w:sz w:val="28"/>
          <w:szCs w:val="28"/>
        </w:rPr>
      </w:pPr>
      <w:r>
        <w:rPr>
          <w:rStyle w:val="blk"/>
          <w:b/>
          <w:sz w:val="28"/>
          <w:szCs w:val="28"/>
        </w:rPr>
        <w:t>111 Фонд оплаты труда учреждений</w:t>
      </w:r>
    </w:p>
    <w:p w:rsidR="00624569" w:rsidRDefault="006140F0">
      <w:pPr>
        <w:ind w:firstLine="547"/>
        <w:jc w:val="both"/>
      </w:pPr>
      <w:bookmarkStart w:id="1" w:name="dst266113"/>
      <w:bookmarkEnd w:id="1"/>
      <w:r>
        <w:rPr>
          <w:rStyle w:val="blk"/>
          <w:sz w:val="28"/>
          <w:szCs w:val="28"/>
        </w:rPr>
        <w:t xml:space="preserve">По данному элементу отражаются расходы государственных (муниципальных) учреждений, осуществляемые в пределах фонда оплаты труда </w:t>
      </w:r>
      <w:r>
        <w:rPr>
          <w:rStyle w:val="blk"/>
          <w:sz w:val="28"/>
          <w:szCs w:val="28"/>
        </w:rPr>
        <w:lastRenderedPageBreak/>
        <w:t>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8F7679" w:rsidRPr="00DE412C" w:rsidRDefault="008F7679" w:rsidP="008F7679">
      <w:pPr>
        <w:jc w:val="center"/>
        <w:rPr>
          <w:b/>
          <w:sz w:val="28"/>
          <w:szCs w:val="28"/>
        </w:rPr>
      </w:pPr>
      <w:r w:rsidRPr="00DE412C">
        <w:rPr>
          <w:rStyle w:val="blk"/>
          <w:b/>
          <w:sz w:val="28"/>
          <w:szCs w:val="28"/>
        </w:rPr>
        <w:t>112</w:t>
      </w:r>
      <w:proofErr w:type="gramStart"/>
      <w:r w:rsidRPr="00DE412C">
        <w:rPr>
          <w:rStyle w:val="blk"/>
          <w:b/>
          <w:sz w:val="28"/>
          <w:szCs w:val="28"/>
        </w:rPr>
        <w:t xml:space="preserve"> И</w:t>
      </w:r>
      <w:proofErr w:type="gramEnd"/>
      <w:r w:rsidRPr="00DE412C">
        <w:rPr>
          <w:rStyle w:val="blk"/>
          <w:b/>
          <w:sz w:val="28"/>
          <w:szCs w:val="28"/>
        </w:rPr>
        <w:t>ные выплаты персоналу учреждений, за исключением фонда</w:t>
      </w:r>
    </w:p>
    <w:p w:rsidR="008F7679" w:rsidRDefault="008F7679" w:rsidP="008F7679">
      <w:pPr>
        <w:jc w:val="center"/>
      </w:pPr>
      <w:r w:rsidRPr="00DE412C">
        <w:rPr>
          <w:rStyle w:val="blk"/>
          <w:b/>
          <w:sz w:val="28"/>
          <w:szCs w:val="28"/>
        </w:rPr>
        <w:t>оплаты труда</w:t>
      </w:r>
    </w:p>
    <w:p w:rsidR="008F7679" w:rsidRPr="00DE412C" w:rsidRDefault="008F7679" w:rsidP="008F7679">
      <w:pPr>
        <w:ind w:firstLine="709"/>
        <w:jc w:val="both"/>
        <w:rPr>
          <w:sz w:val="28"/>
          <w:szCs w:val="28"/>
        </w:rPr>
      </w:pPr>
      <w:bookmarkStart w:id="2" w:name="dst266114"/>
      <w:bookmarkEnd w:id="2"/>
      <w:proofErr w:type="gramStart"/>
      <w:r w:rsidRPr="00DE412C">
        <w:rPr>
          <w:rStyle w:val="blk"/>
          <w:sz w:val="28"/>
          <w:szCs w:val="28"/>
        </w:rPr>
        <w:t>По данному элементу отражаются расходы бюджетов бюджетной системы Российской Федерации, а также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w:t>
      </w:r>
      <w:proofErr w:type="gramEnd"/>
      <w:r w:rsidRPr="00DE412C">
        <w:rPr>
          <w:rStyle w:val="blk"/>
          <w:sz w:val="28"/>
          <w:szCs w:val="28"/>
        </w:rPr>
        <w:t xml:space="preserve"> включенные в фонд оплаты труда.</w:t>
      </w:r>
    </w:p>
    <w:p w:rsidR="008F7679" w:rsidRDefault="008F7679">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b/>
          <w:sz w:val="28"/>
          <w:szCs w:val="28"/>
        </w:rPr>
      </w:pPr>
      <w:r>
        <w:rPr>
          <w:rStyle w:val="blk"/>
          <w:b/>
          <w:sz w:val="28"/>
          <w:szCs w:val="28"/>
        </w:rPr>
        <w:t>работникам учреждений</w:t>
      </w:r>
    </w:p>
    <w:p w:rsidR="00624569" w:rsidRDefault="006140F0">
      <w:pPr>
        <w:ind w:firstLine="737"/>
        <w:jc w:val="both"/>
      </w:pPr>
      <w:bookmarkStart w:id="3" w:name="dst266115"/>
      <w:bookmarkEnd w:id="3"/>
      <w:proofErr w:type="gramStart"/>
      <w:r>
        <w:rPr>
          <w:rStyle w:val="blk"/>
          <w:sz w:val="28"/>
          <w:szCs w:val="28"/>
        </w:rPr>
        <w:t>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w:t>
      </w:r>
      <w:proofErr w:type="gramEnd"/>
      <w:r>
        <w:rPr>
          <w:rStyle w:val="blk"/>
          <w:sz w:val="28"/>
          <w:szCs w:val="28"/>
        </w:rPr>
        <w:t xml:space="preserve">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w:t>
      </w:r>
      <w:r w:rsidR="00432B63">
        <w:rPr>
          <w:rStyle w:val="blk"/>
          <w:sz w:val="28"/>
          <w:szCs w:val="28"/>
        </w:rPr>
        <w:t>«</w:t>
      </w:r>
      <w:r>
        <w:rPr>
          <w:rStyle w:val="blk"/>
          <w:sz w:val="28"/>
          <w:szCs w:val="28"/>
        </w:rPr>
        <w:t>Расходы на выплат</w:t>
      </w:r>
      <w:r w:rsidR="00432B63">
        <w:rPr>
          <w:rStyle w:val="blk"/>
          <w:sz w:val="28"/>
          <w:szCs w:val="28"/>
        </w:rPr>
        <w:t>ы персоналу казенных учреждений»</w:t>
      </w:r>
      <w:r>
        <w:rPr>
          <w:rStyle w:val="blk"/>
          <w:sz w:val="28"/>
          <w:szCs w:val="28"/>
        </w:rPr>
        <w:t>.</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624569" w:rsidRDefault="006140F0">
      <w:pPr>
        <w:jc w:val="center"/>
        <w:rPr>
          <w:b/>
          <w:sz w:val="28"/>
          <w:szCs w:val="28"/>
        </w:rPr>
      </w:pPr>
      <w:r>
        <w:rPr>
          <w:b/>
          <w:sz w:val="28"/>
          <w:szCs w:val="28"/>
        </w:rPr>
        <w:t xml:space="preserve">120 Расходы на выплаты персоналу </w:t>
      </w:r>
      <w:proofErr w:type="gramStart"/>
      <w:r>
        <w:rPr>
          <w:b/>
          <w:sz w:val="28"/>
          <w:szCs w:val="28"/>
        </w:rPr>
        <w:t>государственных</w:t>
      </w:r>
      <w:proofErr w:type="gramEnd"/>
    </w:p>
    <w:p w:rsidR="00624569" w:rsidRDefault="006140F0">
      <w:pPr>
        <w:jc w:val="center"/>
        <w:rPr>
          <w:b/>
          <w:sz w:val="28"/>
          <w:szCs w:val="28"/>
        </w:rPr>
      </w:pPr>
      <w:r>
        <w:rPr>
          <w:b/>
          <w:sz w:val="28"/>
          <w:szCs w:val="28"/>
        </w:rPr>
        <w:t>(муниципальных) органов</w:t>
      </w:r>
    </w:p>
    <w:p w:rsidR="00624569" w:rsidRDefault="006140F0">
      <w:pPr>
        <w:ind w:firstLine="737"/>
        <w:jc w:val="both"/>
      </w:pPr>
      <w:proofErr w:type="gramStart"/>
      <w:r>
        <w:rPr>
          <w:sz w:val="28"/>
          <w:szCs w:val="28"/>
        </w:rPr>
        <w:t xml:space="preserve">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w:t>
      </w:r>
      <w:r>
        <w:rPr>
          <w:sz w:val="28"/>
          <w:szCs w:val="28"/>
        </w:rPr>
        <w:lastRenderedPageBreak/>
        <w:t>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w:t>
      </w:r>
      <w:proofErr w:type="gramEnd"/>
      <w:r>
        <w:rPr>
          <w:sz w:val="28"/>
          <w:szCs w:val="28"/>
        </w:rPr>
        <w:t xml:space="preserve">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 xml:space="preserve">121 Фонд оплаты труда </w:t>
      </w:r>
      <w:proofErr w:type="gramStart"/>
      <w:r>
        <w:rPr>
          <w:rStyle w:val="blk"/>
          <w:b/>
          <w:sz w:val="28"/>
          <w:szCs w:val="28"/>
        </w:rPr>
        <w:t>государственных</w:t>
      </w:r>
      <w:proofErr w:type="gramEnd"/>
    </w:p>
    <w:p w:rsidR="00624569" w:rsidRDefault="006140F0">
      <w:pPr>
        <w:jc w:val="center"/>
        <w:rPr>
          <w:b/>
          <w:sz w:val="28"/>
          <w:szCs w:val="28"/>
        </w:rPr>
      </w:pPr>
      <w:r>
        <w:rPr>
          <w:rStyle w:val="blk"/>
          <w:b/>
          <w:sz w:val="28"/>
          <w:szCs w:val="28"/>
        </w:rPr>
        <w:t>(муниципальных) органов</w:t>
      </w:r>
    </w:p>
    <w:p w:rsidR="00624569" w:rsidRDefault="006140F0">
      <w:pPr>
        <w:ind w:firstLine="547"/>
        <w:jc w:val="both"/>
      </w:pPr>
      <w:bookmarkStart w:id="4" w:name="dst198313"/>
      <w:bookmarkEnd w:id="4"/>
      <w:proofErr w:type="gramStart"/>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w:t>
      </w:r>
      <w:proofErr w:type="gramEnd"/>
      <w:r>
        <w:rPr>
          <w:rStyle w:val="blk"/>
          <w:sz w:val="28"/>
          <w:szCs w:val="28"/>
        </w:rPr>
        <w:t xml:space="preserve">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w:t>
      </w:r>
      <w:proofErr w:type="gramStart"/>
      <w:r w:rsidRPr="00ED13BB">
        <w:rPr>
          <w:rStyle w:val="blk"/>
          <w:b/>
          <w:sz w:val="28"/>
          <w:szCs w:val="28"/>
        </w:rPr>
        <w:t xml:space="preserve"> И</w:t>
      </w:r>
      <w:proofErr w:type="gramEnd"/>
      <w:r w:rsidRPr="00ED13BB">
        <w:rPr>
          <w:rStyle w:val="blk"/>
          <w:b/>
          <w:sz w:val="28"/>
          <w:szCs w:val="28"/>
        </w:rPr>
        <w:t>ные выплаты персоналу государственных (муниципальных)</w:t>
      </w:r>
    </w:p>
    <w:p w:rsidR="008F7679" w:rsidRPr="00ED13BB" w:rsidRDefault="008F7679" w:rsidP="008F7679">
      <w:pPr>
        <w:jc w:val="center"/>
        <w:rPr>
          <w:b/>
          <w:sz w:val="28"/>
          <w:szCs w:val="28"/>
        </w:rPr>
      </w:pPr>
      <w:r w:rsidRPr="00ED13BB">
        <w:rPr>
          <w:rStyle w:val="blk"/>
          <w:b/>
          <w:sz w:val="28"/>
          <w:szCs w:val="28"/>
        </w:rPr>
        <w:t>органов, за исключением фонда оплаты труда</w:t>
      </w:r>
    </w:p>
    <w:p w:rsidR="008F7679" w:rsidRPr="00ED13BB" w:rsidRDefault="008F7679" w:rsidP="008F7679">
      <w:pPr>
        <w:ind w:firstLine="709"/>
        <w:jc w:val="both"/>
        <w:rPr>
          <w:sz w:val="28"/>
          <w:szCs w:val="28"/>
        </w:rPr>
      </w:pPr>
      <w:bookmarkStart w:id="5" w:name="dst198315"/>
      <w:bookmarkEnd w:id="5"/>
      <w:proofErr w:type="gramStart"/>
      <w:r w:rsidRPr="00ED13BB">
        <w:rPr>
          <w:rStyle w:val="blk"/>
          <w:sz w:val="28"/>
          <w:szCs w:val="28"/>
        </w:rPr>
        <w:t>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w:t>
      </w:r>
      <w:proofErr w:type="gramEnd"/>
      <w:r w:rsidRPr="00ED13BB">
        <w:rPr>
          <w:rStyle w:val="blk"/>
          <w:sz w:val="28"/>
          <w:szCs w:val="28"/>
        </w:rPr>
        <w:t xml:space="preserve">, контрактами) и предусмотренных законодательством Российской Федерации, законодательством субъектов </w:t>
      </w:r>
      <w:r w:rsidRPr="00ED13BB">
        <w:rPr>
          <w:rStyle w:val="blk"/>
          <w:sz w:val="28"/>
          <w:szCs w:val="28"/>
        </w:rPr>
        <w:lastRenderedPageBreak/>
        <w:t>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b/>
          <w:sz w:val="28"/>
          <w:szCs w:val="28"/>
        </w:rPr>
      </w:pPr>
      <w:r>
        <w:rPr>
          <w:rStyle w:val="blk"/>
          <w:b/>
          <w:sz w:val="28"/>
          <w:szCs w:val="28"/>
        </w:rPr>
        <w:t>государственных (муниципальных) органов</w:t>
      </w:r>
    </w:p>
    <w:p w:rsidR="00624569" w:rsidRDefault="006140F0">
      <w:pPr>
        <w:ind w:firstLine="547"/>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sidR="00432B63">
        <w:rPr>
          <w:rStyle w:val="blk"/>
          <w:sz w:val="28"/>
          <w:szCs w:val="28"/>
        </w:rPr>
        <w:t>элементам подгруппы 120 «</w:t>
      </w:r>
      <w:r>
        <w:rPr>
          <w:rStyle w:val="blk"/>
          <w:sz w:val="28"/>
          <w:szCs w:val="28"/>
        </w:rPr>
        <w:t>Расходы на выплаты персоналу государс</w:t>
      </w:r>
      <w:r w:rsidR="00432B63">
        <w:rPr>
          <w:rStyle w:val="blk"/>
          <w:sz w:val="28"/>
          <w:szCs w:val="28"/>
        </w:rPr>
        <w:t>твенных (муниципальных) органов»</w:t>
      </w:r>
      <w:r>
        <w:rPr>
          <w:rStyle w:val="blk"/>
          <w:sz w:val="28"/>
          <w:szCs w:val="28"/>
        </w:rPr>
        <w:t>.</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b/>
          <w:sz w:val="28"/>
          <w:szCs w:val="28"/>
        </w:rPr>
      </w:pPr>
      <w:r>
        <w:rPr>
          <w:rStyle w:val="blk"/>
          <w:b/>
          <w:sz w:val="28"/>
          <w:szCs w:val="28"/>
        </w:rPr>
        <w:t>государственных (муниципальных) нужд</w:t>
      </w:r>
    </w:p>
    <w:p w:rsidR="00624569" w:rsidRDefault="006140F0">
      <w:pPr>
        <w:ind w:firstLine="547"/>
        <w:jc w:val="both"/>
      </w:pPr>
      <w:bookmarkStart w:id="7" w:name="dst198360"/>
      <w:bookmarkEnd w:id="7"/>
      <w:r>
        <w:rPr>
          <w:rStyle w:val="blk"/>
          <w:sz w:val="28"/>
          <w:szCs w:val="28"/>
        </w:rPr>
        <w:t xml:space="preserve">Данная группа предназначена для отражения (с </w:t>
      </w:r>
      <w:proofErr w:type="gramStart"/>
      <w:r>
        <w:rPr>
          <w:rStyle w:val="blk"/>
          <w:sz w:val="28"/>
          <w:szCs w:val="28"/>
        </w:rPr>
        <w:t>учетом</w:t>
      </w:r>
      <w:proofErr w:type="gramEnd"/>
      <w:r>
        <w:rPr>
          <w:rStyle w:val="blk"/>
          <w:sz w:val="28"/>
          <w:szCs w:val="28"/>
        </w:rPr>
        <w:t xml:space="preserve">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624569" w:rsidRDefault="006140F0">
      <w:pPr>
        <w:spacing w:before="108"/>
        <w:jc w:val="center"/>
        <w:outlineLvl w:val="0"/>
        <w:rPr>
          <w:sz w:val="28"/>
          <w:szCs w:val="28"/>
        </w:rPr>
      </w:pPr>
      <w:bookmarkStart w:id="8" w:name="sub_1202273"/>
      <w:r>
        <w:rPr>
          <w:b/>
          <w:bCs/>
          <w:color w:val="26282F"/>
          <w:sz w:val="28"/>
          <w:szCs w:val="28"/>
        </w:rPr>
        <w:t>240</w:t>
      </w:r>
      <w:proofErr w:type="gramStart"/>
      <w:r>
        <w:rPr>
          <w:b/>
          <w:bCs/>
          <w:color w:val="26282F"/>
          <w:sz w:val="28"/>
          <w:szCs w:val="28"/>
        </w:rPr>
        <w:t xml:space="preserve"> И</w:t>
      </w:r>
      <w:proofErr w:type="gramEnd"/>
      <w:r>
        <w:rPr>
          <w:b/>
          <w:bCs/>
          <w:color w:val="26282F"/>
          <w:sz w:val="28"/>
          <w:szCs w:val="28"/>
        </w:rPr>
        <w:t>ные закупки товаров, работ и услуг для государственных (муниципальных) нужд</w:t>
      </w:r>
      <w:bookmarkEnd w:id="8"/>
    </w:p>
    <w:p w:rsidR="00624569" w:rsidRDefault="006140F0">
      <w:pPr>
        <w:ind w:firstLine="720"/>
        <w:jc w:val="both"/>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624569" w:rsidRDefault="00624569">
      <w:pPr>
        <w:ind w:firstLine="720"/>
        <w:jc w:val="both"/>
        <w:rPr>
          <w:rFonts w:ascii="Arial" w:hAnsi="Arial" w:cs="Arial"/>
          <w:sz w:val="26"/>
          <w:szCs w:val="26"/>
        </w:rPr>
      </w:pPr>
    </w:p>
    <w:p w:rsidR="00624569" w:rsidRDefault="006140F0" w:rsidP="000C7D7D">
      <w:pPr>
        <w:jc w:val="center"/>
        <w:rPr>
          <w:b/>
          <w:sz w:val="28"/>
          <w:szCs w:val="28"/>
        </w:rPr>
      </w:pPr>
      <w:r>
        <w:rPr>
          <w:rStyle w:val="blk"/>
          <w:b/>
          <w:sz w:val="28"/>
          <w:szCs w:val="28"/>
        </w:rPr>
        <w:t>244</w:t>
      </w:r>
      <w:proofErr w:type="gramStart"/>
      <w:r>
        <w:rPr>
          <w:rStyle w:val="blk"/>
          <w:b/>
          <w:sz w:val="28"/>
          <w:szCs w:val="28"/>
        </w:rPr>
        <w:t xml:space="preserve"> П</w:t>
      </w:r>
      <w:proofErr w:type="gramEnd"/>
      <w:r>
        <w:rPr>
          <w:rStyle w:val="blk"/>
          <w:b/>
          <w:sz w:val="28"/>
          <w:szCs w:val="28"/>
        </w:rPr>
        <w:t>рочая закупка товаров, работ и услуг</w:t>
      </w: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 xml:space="preserve">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w:t>
      </w:r>
      <w:proofErr w:type="gramStart"/>
      <w:r w:rsidRPr="000C7D7D">
        <w:rPr>
          <w:rStyle w:val="blk"/>
          <w:sz w:val="28"/>
          <w:szCs w:val="28"/>
        </w:rPr>
        <w:t>на</w:t>
      </w:r>
      <w:proofErr w:type="gramEnd"/>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lastRenderedPageBreak/>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 xml:space="preserve">Также по данному виду расходов подлежат отражению расходы </w:t>
      </w:r>
      <w:proofErr w:type="gramStart"/>
      <w:r w:rsidRPr="000C7D7D">
        <w:rPr>
          <w:rStyle w:val="blk"/>
          <w:sz w:val="28"/>
          <w:szCs w:val="28"/>
        </w:rPr>
        <w:t>на</w:t>
      </w:r>
      <w:proofErr w:type="gramEnd"/>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6"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w:t>
      </w:r>
      <w:r w:rsidR="00432B63">
        <w:rPr>
          <w:rStyle w:val="blk"/>
          <w:sz w:val="28"/>
          <w:szCs w:val="28"/>
        </w:rPr>
        <w:t>ода № 512 «</w:t>
      </w:r>
      <w:r w:rsidRPr="000C7D7D">
        <w:rPr>
          <w:rStyle w:val="blk"/>
          <w:sz w:val="28"/>
          <w:szCs w:val="28"/>
        </w:rPr>
        <w:t>Об утверждении Правил выплаты вознаграждения за служебные изобретения, служебные полезные модели,</w:t>
      </w:r>
      <w:r w:rsidR="00432B63">
        <w:rPr>
          <w:rStyle w:val="blk"/>
          <w:sz w:val="28"/>
          <w:szCs w:val="28"/>
        </w:rPr>
        <w:t xml:space="preserve"> служебные промышленные образцы»</w:t>
      </w:r>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Default="000C7D7D" w:rsidP="007465BD">
      <w:pPr>
        <w:shd w:val="clear" w:color="auto" w:fill="FFFFFF"/>
        <w:spacing w:line="290" w:lineRule="atLeast"/>
        <w:ind w:firstLine="709"/>
        <w:jc w:val="both"/>
        <w:rPr>
          <w:rStyle w:val="blk"/>
          <w:sz w:val="28"/>
          <w:szCs w:val="28"/>
        </w:rPr>
      </w:pPr>
      <w:bookmarkStart w:id="26" w:name="dst267049"/>
      <w:bookmarkEnd w:id="26"/>
      <w:r w:rsidRPr="000C7D7D">
        <w:rPr>
          <w:rStyle w:val="blk"/>
          <w:sz w:val="28"/>
          <w:szCs w:val="28"/>
        </w:rPr>
        <w:t>выплату вознаграждений агентам и консультантам.</w:t>
      </w:r>
    </w:p>
    <w:p w:rsidR="00201557" w:rsidRDefault="00201557" w:rsidP="00201557">
      <w:pPr>
        <w:shd w:val="clear" w:color="auto" w:fill="FFFFFF"/>
        <w:spacing w:line="290" w:lineRule="atLeast"/>
        <w:ind w:firstLine="709"/>
        <w:jc w:val="center"/>
        <w:rPr>
          <w:rStyle w:val="blk"/>
          <w:sz w:val="28"/>
          <w:szCs w:val="28"/>
        </w:rPr>
      </w:pPr>
    </w:p>
    <w:p w:rsidR="00201557" w:rsidRDefault="00201557" w:rsidP="00201557">
      <w:pPr>
        <w:shd w:val="clear" w:color="auto" w:fill="FFFFFF"/>
        <w:spacing w:line="290" w:lineRule="atLeast"/>
        <w:ind w:firstLine="709"/>
        <w:jc w:val="center"/>
        <w:rPr>
          <w:rStyle w:val="blk"/>
          <w:b/>
          <w:sz w:val="28"/>
          <w:szCs w:val="28"/>
        </w:rPr>
      </w:pPr>
    </w:p>
    <w:p w:rsidR="00201557" w:rsidRDefault="00201557" w:rsidP="00201557">
      <w:pPr>
        <w:shd w:val="clear" w:color="auto" w:fill="FFFFFF"/>
        <w:spacing w:line="290" w:lineRule="atLeast"/>
        <w:ind w:firstLine="709"/>
        <w:jc w:val="center"/>
        <w:rPr>
          <w:rStyle w:val="blk"/>
          <w:b/>
          <w:sz w:val="28"/>
          <w:szCs w:val="28"/>
        </w:rPr>
      </w:pPr>
    </w:p>
    <w:p w:rsidR="00201557" w:rsidRDefault="00201557" w:rsidP="00201557">
      <w:pPr>
        <w:shd w:val="clear" w:color="auto" w:fill="FFFFFF"/>
        <w:spacing w:line="290" w:lineRule="atLeast"/>
        <w:ind w:firstLine="709"/>
        <w:jc w:val="center"/>
        <w:rPr>
          <w:rStyle w:val="blk"/>
          <w:b/>
          <w:sz w:val="28"/>
          <w:szCs w:val="28"/>
        </w:rPr>
      </w:pPr>
      <w:r>
        <w:rPr>
          <w:rStyle w:val="blk"/>
          <w:b/>
          <w:sz w:val="28"/>
          <w:szCs w:val="28"/>
        </w:rPr>
        <w:lastRenderedPageBreak/>
        <w:t xml:space="preserve">247 </w:t>
      </w:r>
      <w:r w:rsidRPr="00201557">
        <w:rPr>
          <w:rStyle w:val="blk"/>
          <w:b/>
          <w:sz w:val="28"/>
          <w:szCs w:val="28"/>
        </w:rPr>
        <w:t>Закупка энергетических ресурсов</w:t>
      </w:r>
    </w:p>
    <w:p w:rsidR="00201557" w:rsidRPr="00201557" w:rsidRDefault="00201557" w:rsidP="00201557">
      <w:pPr>
        <w:shd w:val="clear" w:color="auto" w:fill="FFFFFF"/>
        <w:spacing w:line="290" w:lineRule="atLeast"/>
        <w:ind w:firstLine="709"/>
        <w:jc w:val="both"/>
        <w:rPr>
          <w:sz w:val="28"/>
          <w:szCs w:val="28"/>
        </w:rPr>
      </w:pPr>
      <w:r>
        <w:rPr>
          <w:sz w:val="28"/>
          <w:szCs w:val="28"/>
        </w:rPr>
        <w:t>По элементу вида расходов «</w:t>
      </w:r>
      <w:r w:rsidRPr="00201557">
        <w:rPr>
          <w:sz w:val="28"/>
          <w:szCs w:val="28"/>
        </w:rPr>
        <w:t>247 Закупка энергетических ресурсов</w:t>
      </w:r>
      <w:r>
        <w:rPr>
          <w:sz w:val="28"/>
          <w:szCs w:val="28"/>
        </w:rPr>
        <w:t>»</w:t>
      </w:r>
      <w:r w:rsidRPr="00201557">
        <w:rPr>
          <w:sz w:val="28"/>
          <w:szCs w:val="28"/>
        </w:rPr>
        <w:t xml:space="preserve"> отражаются расходы бюджетов бюджетной системы Российской Федерации, государственных (муниципальных) бюджетных и автономных учреждений на оплату:</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потребленных энергетических и (или) коммунальных ресурсов в рамках договоров поставки электроэнергии, газа, теплоснабжения, включая оплату просроченной задолженности за указанные потребленные энергетические и (или) коммунальные ресурсы;</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услуг транспортировки указанных энергетических и (или) коммунальных ресурсов по газораспределительным и электрическим и теплосетям (при ее наличии).</w:t>
      </w:r>
    </w:p>
    <w:p w:rsidR="00201557" w:rsidRPr="00201557" w:rsidRDefault="00201557" w:rsidP="00201557">
      <w:pPr>
        <w:shd w:val="clear" w:color="auto" w:fill="FFFFFF"/>
        <w:spacing w:line="290" w:lineRule="atLeast"/>
        <w:ind w:firstLine="709"/>
        <w:jc w:val="both"/>
        <w:rPr>
          <w:sz w:val="28"/>
          <w:szCs w:val="28"/>
        </w:rPr>
      </w:pPr>
      <w:r w:rsidRPr="00201557">
        <w:rPr>
          <w:sz w:val="28"/>
          <w:szCs w:val="28"/>
        </w:rPr>
        <w:t>Данный вид расходов не применяется при оплате энергетических и (или) комму</w:t>
      </w:r>
      <w:r>
        <w:rPr>
          <w:sz w:val="28"/>
          <w:szCs w:val="28"/>
        </w:rPr>
        <w:t>нальных ресурсов, приобретаемых</w:t>
      </w:r>
      <w:r w:rsidRPr="00201557">
        <w:rPr>
          <w:sz w:val="28"/>
          <w:szCs w:val="28"/>
        </w:rPr>
        <w:t xml:space="preserve"> зарубежными аппаратами, представительствами государственных органов, функционирующими за пределами территории Российской Федерации.</w:t>
      </w:r>
    </w:p>
    <w:p w:rsidR="00624569" w:rsidRPr="000C7D7D" w:rsidRDefault="00624569">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624569" w:rsidRDefault="006140F0" w:rsidP="007465BD">
      <w:pPr>
        <w:ind w:firstLine="709"/>
        <w:jc w:val="both"/>
      </w:pPr>
      <w:proofErr w:type="gramStart"/>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w:t>
      </w:r>
      <w:proofErr w:type="gramEnd"/>
      <w:r>
        <w:rPr>
          <w:color w:val="000000"/>
          <w:sz w:val="28"/>
          <w:szCs w:val="28"/>
        </w:rPr>
        <w:t xml:space="preserve"> </w:t>
      </w:r>
      <w:proofErr w:type="gramStart"/>
      <w:r>
        <w:rPr>
          <w:color w:val="000000"/>
          <w:sz w:val="28"/>
          <w:szCs w:val="28"/>
        </w:rPr>
        <w:t>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roofErr w:type="gramEnd"/>
    </w:p>
    <w:p w:rsidR="00624569" w:rsidRDefault="00624569">
      <w:pPr>
        <w:jc w:val="center"/>
        <w:rPr>
          <w:b/>
          <w:sz w:val="28"/>
          <w:szCs w:val="28"/>
        </w:rPr>
      </w:pPr>
    </w:p>
    <w:p w:rsidR="00624569" w:rsidRDefault="006140F0">
      <w:pPr>
        <w:jc w:val="center"/>
        <w:rPr>
          <w:b/>
          <w:sz w:val="28"/>
          <w:szCs w:val="28"/>
        </w:rPr>
      </w:pPr>
      <w:r>
        <w:rPr>
          <w:rStyle w:val="blk"/>
          <w:b/>
          <w:sz w:val="28"/>
          <w:szCs w:val="28"/>
        </w:rPr>
        <w:t>312</w:t>
      </w:r>
      <w:proofErr w:type="gramStart"/>
      <w:r>
        <w:rPr>
          <w:rStyle w:val="blk"/>
          <w:b/>
          <w:sz w:val="28"/>
          <w:szCs w:val="28"/>
        </w:rPr>
        <w:t xml:space="preserve"> И</w:t>
      </w:r>
      <w:proofErr w:type="gramEnd"/>
      <w:r>
        <w:rPr>
          <w:rStyle w:val="blk"/>
          <w:b/>
          <w:sz w:val="28"/>
          <w:szCs w:val="28"/>
        </w:rPr>
        <w:t>ные пенсии, социальные доплаты к пенсиям</w:t>
      </w:r>
    </w:p>
    <w:p w:rsidR="00624569" w:rsidRDefault="006140F0" w:rsidP="007465BD">
      <w:pPr>
        <w:ind w:firstLine="709"/>
        <w:jc w:val="both"/>
      </w:pPr>
      <w:bookmarkStart w:id="27" w:name="dst198465"/>
      <w:bookmarkEnd w:id="27"/>
      <w:proofErr w:type="gramStart"/>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roofErr w:type="gramEnd"/>
    </w:p>
    <w:p w:rsidR="00624569" w:rsidRDefault="00624569">
      <w:pPr>
        <w:ind w:firstLine="547"/>
        <w:jc w:val="both"/>
        <w:rPr>
          <w:sz w:val="28"/>
          <w:szCs w:val="28"/>
        </w:rPr>
      </w:pPr>
    </w:p>
    <w:p w:rsidR="00624569" w:rsidRDefault="006140F0">
      <w:pPr>
        <w:spacing w:before="108"/>
        <w:jc w:val="center"/>
        <w:outlineLvl w:val="0"/>
        <w:rPr>
          <w:sz w:val="28"/>
          <w:szCs w:val="28"/>
        </w:rPr>
      </w:pPr>
      <w:bookmarkStart w:id="28" w:name="sub_10035252"/>
      <w:r>
        <w:rPr>
          <w:b/>
          <w:bCs/>
          <w:color w:val="26282F"/>
          <w:sz w:val="28"/>
          <w:szCs w:val="28"/>
        </w:rPr>
        <w:t>360</w:t>
      </w:r>
      <w:proofErr w:type="gramStart"/>
      <w:r>
        <w:rPr>
          <w:b/>
          <w:bCs/>
          <w:color w:val="26282F"/>
          <w:sz w:val="28"/>
          <w:szCs w:val="28"/>
        </w:rPr>
        <w:t xml:space="preserve"> И</w:t>
      </w:r>
      <w:proofErr w:type="gramEnd"/>
      <w:r>
        <w:rPr>
          <w:b/>
          <w:bCs/>
          <w:color w:val="26282F"/>
          <w:sz w:val="28"/>
          <w:szCs w:val="28"/>
        </w:rPr>
        <w:t>ные выплаты населению</w:t>
      </w:r>
      <w:bookmarkEnd w:id="28"/>
    </w:p>
    <w:p w:rsidR="00624569" w:rsidRDefault="006140F0">
      <w:pPr>
        <w:ind w:firstLine="720"/>
        <w:jc w:val="both"/>
      </w:pPr>
      <w:r>
        <w:rPr>
          <w:sz w:val="28"/>
          <w:szCs w:val="28"/>
        </w:rPr>
        <w:t xml:space="preserve">По данной подгруппе отражаются расходы бюджетов бюджетной системы Российской Федерации, а также расходы государственных </w:t>
      </w:r>
      <w:r>
        <w:rPr>
          <w:sz w:val="28"/>
          <w:szCs w:val="28"/>
        </w:rPr>
        <w:lastRenderedPageBreak/>
        <w:t>(муниципальных) бюджетных и автономных учреждений на осуществление иных выплат населению, не отнесенных к иным элементам видов расходов группы 300</w:t>
      </w:r>
      <w:r w:rsidR="00432B63">
        <w:rPr>
          <w:sz w:val="28"/>
          <w:szCs w:val="28"/>
        </w:rPr>
        <w:t xml:space="preserve"> «</w:t>
      </w:r>
      <w:r>
        <w:rPr>
          <w:sz w:val="28"/>
          <w:szCs w:val="28"/>
        </w:rPr>
        <w:t>Социальное обесп</w:t>
      </w:r>
      <w:r w:rsidR="00432B63">
        <w:rPr>
          <w:sz w:val="28"/>
          <w:szCs w:val="28"/>
        </w:rPr>
        <w:t>ечение и иные выплаты населению»</w:t>
      </w:r>
      <w:r>
        <w:rPr>
          <w:sz w:val="28"/>
          <w:szCs w:val="28"/>
        </w:rPr>
        <w:t>.</w:t>
      </w:r>
    </w:p>
    <w:p w:rsidR="00624569" w:rsidRDefault="00624569">
      <w:pPr>
        <w:ind w:firstLine="720"/>
        <w:jc w:val="both"/>
        <w:rPr>
          <w:rFonts w:ascii="Arial" w:hAnsi="Arial" w:cs="Arial"/>
        </w:rPr>
      </w:pPr>
    </w:p>
    <w:p w:rsidR="00255634" w:rsidRPr="00255634" w:rsidRDefault="00255634" w:rsidP="00255634">
      <w:pPr>
        <w:shd w:val="clear" w:color="auto" w:fill="FFFFFF"/>
        <w:jc w:val="center"/>
        <w:rPr>
          <w:b/>
          <w:sz w:val="28"/>
          <w:szCs w:val="28"/>
        </w:rPr>
      </w:pPr>
      <w:r w:rsidRPr="00255634">
        <w:rPr>
          <w:rStyle w:val="blk"/>
          <w:b/>
          <w:sz w:val="28"/>
          <w:szCs w:val="28"/>
        </w:rPr>
        <w:t>410 Бюджетные инвестиции</w:t>
      </w:r>
      <w:r w:rsidRPr="00255634">
        <w:rPr>
          <w:rStyle w:val="nobr"/>
          <w:b/>
          <w:sz w:val="28"/>
          <w:szCs w:val="28"/>
        </w:rPr>
        <w:t> </w:t>
      </w: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Pr="00255634" w:rsidRDefault="00255634">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 xml:space="preserve">414 Бюджетные инвестиции в объекты </w:t>
      </w:r>
      <w:proofErr w:type="gramStart"/>
      <w:r w:rsidRPr="00255634">
        <w:rPr>
          <w:rStyle w:val="blk"/>
          <w:b/>
          <w:sz w:val="28"/>
          <w:szCs w:val="28"/>
        </w:rPr>
        <w:t>капитального</w:t>
      </w:r>
      <w:proofErr w:type="gramEnd"/>
    </w:p>
    <w:p w:rsidR="00255634" w:rsidRPr="00255634" w:rsidRDefault="00255634" w:rsidP="00255634">
      <w:pPr>
        <w:shd w:val="clear" w:color="auto" w:fill="FFFFFF"/>
        <w:jc w:val="center"/>
        <w:rP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proofErr w:type="gramStart"/>
      <w:r w:rsidRPr="00255634">
        <w:rPr>
          <w:rStyle w:val="blk"/>
          <w:sz w:val="28"/>
          <w:szCs w:val="28"/>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0005713B">
        <w:rPr>
          <w:rStyle w:val="blk"/>
          <w:sz w:val="28"/>
          <w:szCs w:val="28"/>
        </w:rPr>
        <w:t>.</w:t>
      </w:r>
      <w:proofErr w:type="gramEnd"/>
    </w:p>
    <w:p w:rsidR="00255634" w:rsidRDefault="00255634" w:rsidP="00255634">
      <w:pPr>
        <w:spacing w:before="108"/>
        <w:jc w:val="center"/>
        <w:outlineLvl w:val="0"/>
        <w:rPr>
          <w:b/>
          <w:bCs/>
          <w:color w:val="26282F"/>
          <w:sz w:val="28"/>
          <w:szCs w:val="28"/>
        </w:rPr>
      </w:pPr>
    </w:p>
    <w:p w:rsidR="00624569" w:rsidRDefault="006140F0" w:rsidP="00255634">
      <w:pPr>
        <w:spacing w:before="108"/>
        <w:jc w:val="center"/>
        <w:outlineLvl w:val="0"/>
      </w:pPr>
      <w:r>
        <w:rPr>
          <w:b/>
          <w:bCs/>
          <w:color w:val="26282F"/>
          <w:sz w:val="28"/>
          <w:szCs w:val="28"/>
        </w:rPr>
        <w:t>540</w:t>
      </w:r>
      <w:proofErr w:type="gramStart"/>
      <w:r>
        <w:rPr>
          <w:b/>
          <w:bCs/>
          <w:color w:val="26282F"/>
          <w:sz w:val="28"/>
          <w:szCs w:val="28"/>
        </w:rPr>
        <w:t xml:space="preserve"> И</w:t>
      </w:r>
      <w:proofErr w:type="gramEnd"/>
      <w:r>
        <w:rPr>
          <w:b/>
          <w:bCs/>
          <w:color w:val="26282F"/>
          <w:sz w:val="28"/>
          <w:szCs w:val="28"/>
        </w:rPr>
        <w:t>ные межбюджетные трансферты</w:t>
      </w:r>
      <w:bookmarkEnd w:id="30"/>
    </w:p>
    <w:p w:rsidR="00624569" w:rsidRDefault="006140F0">
      <w:pPr>
        <w:ind w:firstLine="720"/>
        <w:jc w:val="both"/>
      </w:pPr>
      <w:r>
        <w:rPr>
          <w:sz w:val="28"/>
          <w:szCs w:val="28"/>
        </w:rPr>
        <w:t>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624569" w:rsidRDefault="006140F0">
      <w:pPr>
        <w:jc w:val="center"/>
        <w:rPr>
          <w:b/>
          <w:sz w:val="28"/>
          <w:szCs w:val="28"/>
        </w:rPr>
      </w:pPr>
      <w:r>
        <w:rPr>
          <w:rStyle w:val="blk"/>
          <w:b/>
          <w:sz w:val="28"/>
          <w:szCs w:val="28"/>
        </w:rPr>
        <w:t xml:space="preserve">611 Субсидии бюджетным учреждениям на </w:t>
      </w:r>
      <w:proofErr w:type="gramStart"/>
      <w:r>
        <w:rPr>
          <w:rStyle w:val="blk"/>
          <w:b/>
          <w:sz w:val="28"/>
          <w:szCs w:val="28"/>
        </w:rPr>
        <w:t>финансовое</w:t>
      </w:r>
      <w:proofErr w:type="gramEnd"/>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b/>
          <w:sz w:val="28"/>
          <w:szCs w:val="28"/>
        </w:rPr>
      </w:pPr>
      <w:r>
        <w:rPr>
          <w:rStyle w:val="blk"/>
          <w:b/>
          <w:sz w:val="28"/>
          <w:szCs w:val="28"/>
        </w:rPr>
        <w:t>(выполнение работ)</w:t>
      </w:r>
    </w:p>
    <w:p w:rsidR="00624569" w:rsidRDefault="006140F0" w:rsidP="007465BD">
      <w:pPr>
        <w:ind w:firstLine="709"/>
        <w:jc w:val="both"/>
      </w:pPr>
      <w:bookmarkStart w:id="32" w:name="dst198575"/>
      <w:bookmarkEnd w:id="32"/>
      <w:r>
        <w:rPr>
          <w:rStyle w:val="blk"/>
          <w:sz w:val="28"/>
          <w:szCs w:val="28"/>
        </w:rPr>
        <w:t xml:space="preserve">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w:t>
      </w:r>
      <w:r>
        <w:rPr>
          <w:rStyle w:val="blk"/>
          <w:sz w:val="28"/>
          <w:szCs w:val="28"/>
        </w:rPr>
        <w:lastRenderedPageBreak/>
        <w:t>задания на оказание государственных (муниципальных) услуг (выполнение работ).</w:t>
      </w:r>
    </w:p>
    <w:p w:rsidR="00624569" w:rsidRDefault="00624569">
      <w:pPr>
        <w:ind w:firstLine="601"/>
        <w:jc w:val="both"/>
        <w:rPr>
          <w:sz w:val="28"/>
          <w:szCs w:val="28"/>
        </w:rPr>
      </w:pPr>
    </w:p>
    <w:p w:rsidR="00624569" w:rsidRDefault="006140F0">
      <w:pPr>
        <w:jc w:val="center"/>
        <w:rPr>
          <w:b/>
          <w:sz w:val="28"/>
          <w:szCs w:val="28"/>
        </w:rPr>
      </w:pPr>
      <w:r>
        <w:rPr>
          <w:rStyle w:val="blk"/>
          <w:b/>
          <w:sz w:val="28"/>
          <w:szCs w:val="28"/>
        </w:rPr>
        <w:t>612 Субсидии бюджетным учреждениям на иные цели</w:t>
      </w: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624569" w:rsidRDefault="006140F0">
      <w:pPr>
        <w:jc w:val="cente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624569" w:rsidRDefault="006140F0">
      <w:pPr>
        <w:shd w:val="clear" w:color="auto" w:fill="FFFFFF"/>
        <w:ind w:firstLine="737"/>
        <w:jc w:val="both"/>
        <w:rPr>
          <w:color w:val="000000"/>
        </w:rPr>
      </w:pPr>
      <w:bookmarkStart w:id="34" w:name="dst1985771"/>
      <w:bookmarkEnd w:id="34"/>
      <w:proofErr w:type="gramStart"/>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roofErr w:type="gramEnd"/>
    </w:p>
    <w:p w:rsidR="00624569" w:rsidRDefault="006140F0">
      <w:pPr>
        <w:pStyle w:val="ConsPlusNormal"/>
        <w:shd w:val="clear" w:color="auto" w:fill="FFFFFF"/>
        <w:ind w:firstLine="737"/>
        <w:jc w:val="both"/>
        <w:rPr>
          <w:color w:val="000000"/>
        </w:rPr>
      </w:pPr>
      <w:r>
        <w:rPr>
          <w:rStyle w:val="blk"/>
          <w:color w:val="000000"/>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pPr>
        <w:jc w:val="center"/>
        <w:rPr>
          <w:rStyle w:val="blk"/>
          <w:b/>
          <w:sz w:val="28"/>
          <w:szCs w:val="28"/>
        </w:rPr>
      </w:pPr>
    </w:p>
    <w:p w:rsidR="00B15ADE" w:rsidRDefault="006140F0" w:rsidP="00B15ADE">
      <w:pPr>
        <w:jc w:val="center"/>
        <w:rPr>
          <w:rFonts w:ascii="Arial;Tahoma;Verdana;Helvetica;" w:hAnsi="Arial;Tahoma;Verdana;Helvetica;"/>
          <w:color w:val="333333"/>
        </w:rPr>
      </w:pPr>
      <w:r>
        <w:rPr>
          <w:rStyle w:val="blk"/>
          <w:b/>
          <w:sz w:val="28"/>
          <w:szCs w:val="28"/>
        </w:rPr>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B15ADE" w:rsidRPr="00B15ADE" w:rsidRDefault="006140F0" w:rsidP="00B15ADE">
      <w:pPr>
        <w:pStyle w:val="ConsPlusNormal"/>
        <w:spacing w:before="240"/>
        <w:ind w:firstLine="540"/>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B15ADE">
      <w:pPr>
        <w:ind w:firstLine="709"/>
        <w:jc w:val="both"/>
        <w:sectPr w:rsidR="00624569" w:rsidSect="007465BD">
          <w:headerReference w:type="default" r:id="rId7"/>
          <w:pgSz w:w="11906" w:h="16838"/>
          <w:pgMar w:top="1134" w:right="567" w:bottom="1134" w:left="1701" w:header="708" w:footer="709" w:gutter="0"/>
          <w:cols w:space="720"/>
          <w:formProt w:val="0"/>
          <w:titlePg/>
          <w:docGrid w:linePitch="360"/>
        </w:sectPr>
      </w:pPr>
    </w:p>
    <w:p w:rsidR="00624569" w:rsidRPr="00255634" w:rsidRDefault="006140F0">
      <w:pPr>
        <w:spacing w:before="108"/>
        <w:jc w:val="center"/>
        <w:outlineLvl w:val="0"/>
      </w:pPr>
      <w:bookmarkStart w:id="35" w:name="sub_10035292"/>
      <w:r w:rsidRPr="00255634">
        <w:rPr>
          <w:b/>
          <w:bCs/>
          <w:sz w:val="28"/>
          <w:szCs w:val="28"/>
        </w:rPr>
        <w:lastRenderedPageBreak/>
        <w:t>730 Обслуживание муниципального долга</w:t>
      </w:r>
      <w:bookmarkEnd w:id="35"/>
    </w:p>
    <w:p w:rsidR="00624569" w:rsidRPr="00255634" w:rsidRDefault="006140F0">
      <w:pPr>
        <w:ind w:firstLine="547"/>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Pr="00255634" w:rsidRDefault="00624569">
      <w:pPr>
        <w:ind w:firstLine="720"/>
        <w:jc w:val="both"/>
        <w:rPr>
          <w:sz w:val="28"/>
          <w:szCs w:val="28"/>
        </w:rPr>
      </w:pPr>
    </w:p>
    <w:p w:rsidR="00624569" w:rsidRPr="00255634" w:rsidRDefault="006140F0">
      <w:pPr>
        <w:spacing w:before="108"/>
        <w:jc w:val="center"/>
        <w:outlineLvl w:val="0"/>
        <w:rPr>
          <w:sz w:val="28"/>
          <w:szCs w:val="28"/>
        </w:rPr>
      </w:pPr>
      <w:bookmarkStart w:id="36" w:name="sub_1202344"/>
      <w:r w:rsidRPr="00255634">
        <w:rPr>
          <w:b/>
          <w:bCs/>
          <w:sz w:val="28"/>
          <w:szCs w:val="28"/>
        </w:rPr>
        <w:t>850 Уплата налогов, сборов и иных платежей</w:t>
      </w:r>
      <w:bookmarkEnd w:id="36"/>
    </w:p>
    <w:p w:rsidR="00624569" w:rsidRDefault="006140F0">
      <w:pPr>
        <w:ind w:firstLine="720"/>
        <w:jc w:val="both"/>
      </w:pPr>
      <w:r>
        <w:rPr>
          <w:sz w:val="28"/>
          <w:szCs w:val="28"/>
        </w:rPr>
        <w:t xml:space="preserve">В разрезе элементов данной подгруппы отражаются расходы </w:t>
      </w:r>
      <w:r>
        <w:rPr>
          <w:rFonts w:cs="Arial"/>
          <w:sz w:val="28"/>
          <w:szCs w:val="28"/>
        </w:rPr>
        <w:t xml:space="preserve">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w:t>
      </w:r>
      <w:r>
        <w:rPr>
          <w:rFonts w:cs="Arial"/>
          <w:sz w:val="28"/>
          <w:szCs w:val="28"/>
        </w:rPr>
        <w:lastRenderedPageBreak/>
        <w:t>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624569" w:rsidRDefault="006140F0">
      <w:pPr>
        <w:spacing w:before="108"/>
        <w:jc w:val="center"/>
        <w:outlineLvl w:val="0"/>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624569" w:rsidRDefault="006140F0">
      <w:pPr>
        <w:jc w:val="center"/>
      </w:pPr>
      <w:r>
        <w:rPr>
          <w:b/>
          <w:sz w:val="28"/>
          <w:szCs w:val="28"/>
        </w:rPr>
        <w:t xml:space="preserve">852 Уплата прочих налогов, сборов </w:t>
      </w: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транспортного налога;</w:t>
      </w:r>
    </w:p>
    <w:p w:rsidR="00624569" w:rsidRDefault="006140F0">
      <w:pPr>
        <w:pStyle w:val="ConsPlusNormal"/>
        <w:ind w:firstLine="737"/>
        <w:contextualSpacing/>
        <w:jc w:val="both"/>
        <w:rPr>
          <w:sz w:val="28"/>
          <w:szCs w:val="28"/>
        </w:rPr>
      </w:pPr>
      <w:r>
        <w:rPr>
          <w:sz w:val="28"/>
          <w:szCs w:val="28"/>
        </w:rPr>
        <w:t>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624569" w:rsidRDefault="006140F0">
      <w:pPr>
        <w:ind w:firstLine="709"/>
        <w:jc w:val="center"/>
      </w:pPr>
      <w:r>
        <w:rPr>
          <w:b/>
          <w:sz w:val="28"/>
          <w:szCs w:val="28"/>
        </w:rPr>
        <w:t>853 Уплата иных платежей</w:t>
      </w:r>
    </w:p>
    <w:p w:rsidR="00624569" w:rsidRDefault="006140F0">
      <w:pPr>
        <w:ind w:firstLine="737"/>
        <w:jc w:val="both"/>
      </w:pPr>
      <w:r>
        <w:rPr>
          <w:sz w:val="28"/>
          <w:szCs w:val="28"/>
        </w:rPr>
        <w:t>По данной подгруппе отражаются по уплате иных платежей, не отнесенных к другим подгруппам и элеме</w:t>
      </w:r>
      <w:r w:rsidR="00432B63">
        <w:rPr>
          <w:sz w:val="28"/>
          <w:szCs w:val="28"/>
        </w:rPr>
        <w:t>нтам группы видов расходов 800 «Иные бюджетные ассигнования»</w:t>
      </w:r>
      <w:r>
        <w:rPr>
          <w:sz w:val="28"/>
          <w:szCs w:val="28"/>
        </w:rPr>
        <w:t>,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xml:space="preserve">- в форме взносов в некоммерческие организации, а также взносов в уставный капитал хозяйственных обществ или складочный капитал </w:t>
      </w:r>
      <w:r>
        <w:rPr>
          <w:sz w:val="28"/>
          <w:szCs w:val="28"/>
        </w:rPr>
        <w:lastRenderedPageBreak/>
        <w:t>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proofErr w:type="gramStart"/>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sidR="00432B63">
        <w:rPr>
          <w:sz w:val="28"/>
          <w:szCs w:val="28"/>
        </w:rPr>
        <w:t xml:space="preserve"> 44-ФЗ «</w:t>
      </w:r>
      <w:r>
        <w:rPr>
          <w:sz w:val="28"/>
          <w:szCs w:val="28"/>
        </w:rPr>
        <w:t>О контрактной системе в сфере закупок товаров, работ, услуг для обеспечения госуд</w:t>
      </w:r>
      <w:r w:rsidR="00432B63">
        <w:rPr>
          <w:sz w:val="28"/>
          <w:szCs w:val="28"/>
        </w:rPr>
        <w:t>арственных и муниципальных нужд»</w:t>
      </w:r>
      <w:r>
        <w:rPr>
          <w:sz w:val="28"/>
          <w:szCs w:val="28"/>
        </w:rPr>
        <w:t>;</w:t>
      </w:r>
      <w:proofErr w:type="gramEnd"/>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624569" w:rsidRDefault="006140F0">
      <w:pPr>
        <w:jc w:val="center"/>
        <w:outlineLvl w:val="0"/>
        <w:rPr>
          <w:sz w:val="28"/>
          <w:szCs w:val="28"/>
        </w:rPr>
      </w:pPr>
      <w:r>
        <w:rPr>
          <w:b/>
          <w:bCs/>
          <w:color w:val="26282F"/>
          <w:sz w:val="28"/>
          <w:szCs w:val="28"/>
        </w:rPr>
        <w:t>870 Резервные средства</w:t>
      </w:r>
      <w:bookmarkEnd w:id="38"/>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proofErr w:type="gramStart"/>
      <w:r>
        <w:rPr>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roofErr w:type="gramEnd"/>
    </w:p>
    <w:p w:rsidR="00624569" w:rsidRDefault="006140F0">
      <w:pPr>
        <w:ind w:firstLine="737"/>
        <w:jc w:val="both"/>
        <w:rPr>
          <w:sz w:val="28"/>
          <w:szCs w:val="28"/>
        </w:rPr>
      </w:pPr>
      <w:proofErr w:type="gramStart"/>
      <w:r>
        <w:rPr>
          <w:sz w:val="28"/>
          <w:szCs w:val="28"/>
        </w:rPr>
        <w:t>зарезервированные в целях финансового обеспечения целевых расходов соответствующих бюджетов.</w:t>
      </w:r>
      <w:proofErr w:type="gramEnd"/>
    </w:p>
    <w:p w:rsidR="00624569" w:rsidRDefault="00624569">
      <w:pPr>
        <w:ind w:firstLine="720"/>
        <w:jc w:val="both"/>
        <w:rPr>
          <w:sz w:val="28"/>
          <w:szCs w:val="28"/>
        </w:rPr>
      </w:pPr>
    </w:p>
    <w:p w:rsidR="00624569" w:rsidRDefault="00624569">
      <w:pPr>
        <w:ind w:firstLine="720"/>
        <w:jc w:val="both"/>
        <w:rPr>
          <w:sz w:val="28"/>
          <w:szCs w:val="28"/>
        </w:rPr>
      </w:pPr>
    </w:p>
    <w:p w:rsidR="00624569" w:rsidRDefault="00624569">
      <w:pPr>
        <w:ind w:right="-172"/>
        <w:jc w:val="center"/>
        <w:rPr>
          <w:sz w:val="28"/>
          <w:szCs w:val="28"/>
        </w:rPr>
      </w:pPr>
    </w:p>
    <w:p w:rsidR="00624569" w:rsidRDefault="006140F0">
      <w:pPr>
        <w:ind w:right="-172"/>
        <w:jc w:val="center"/>
      </w:pPr>
      <w:r>
        <w:rPr>
          <w:sz w:val="28"/>
          <w:szCs w:val="28"/>
        </w:rPr>
        <w:t>Начальник финансового отдела                                                                  Е.Н. Даева</w:t>
      </w:r>
    </w:p>
    <w:p w:rsidR="00624569" w:rsidRDefault="00624569"/>
    <w:p w:rsidR="00624569" w:rsidRDefault="00624569">
      <w:pPr>
        <w:sectPr w:rsidR="00624569">
          <w:type w:val="continuous"/>
          <w:pgSz w:w="11906" w:h="16838"/>
          <w:pgMar w:top="1134" w:right="567" w:bottom="1134" w:left="1701" w:header="708" w:footer="0" w:gutter="0"/>
          <w:cols w:space="720"/>
          <w:formProt w:val="0"/>
          <w:docGrid w:linePitch="360"/>
        </w:sectPr>
      </w:pPr>
    </w:p>
    <w:p w:rsidR="006140F0" w:rsidRDefault="006140F0"/>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937" w:rsidRDefault="00933937" w:rsidP="00624569">
      <w:r>
        <w:separator/>
      </w:r>
    </w:p>
  </w:endnote>
  <w:endnote w:type="continuationSeparator" w:id="1">
    <w:p w:rsidR="00933937" w:rsidRDefault="00933937" w:rsidP="006245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937" w:rsidRDefault="00933937" w:rsidP="00624569">
      <w:r>
        <w:separator/>
      </w:r>
    </w:p>
  </w:footnote>
  <w:footnote w:type="continuationSeparator" w:id="1">
    <w:p w:rsidR="00933937" w:rsidRDefault="00933937"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3D6287">
        <w:pPr>
          <w:pStyle w:val="Header"/>
          <w:jc w:val="center"/>
        </w:pPr>
        <w:r>
          <w:fldChar w:fldCharType="begin"/>
        </w:r>
        <w:r w:rsidR="006140F0">
          <w:instrText>PAGE</w:instrText>
        </w:r>
        <w:r>
          <w:fldChar w:fldCharType="separate"/>
        </w:r>
        <w:r w:rsidR="00D4113C">
          <w:rPr>
            <w:noProof/>
          </w:rPr>
          <w:t>10</w:t>
        </w:r>
        <w:r>
          <w:fldChar w:fldCharType="end"/>
        </w:r>
      </w:p>
      <w:p w:rsidR="00624569" w:rsidRDefault="003D6287">
        <w:pPr>
          <w:pStyle w:val="Header"/>
        </w:pP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24569"/>
    <w:rsid w:val="0005713B"/>
    <w:rsid w:val="00077853"/>
    <w:rsid w:val="000C7D7D"/>
    <w:rsid w:val="001C69F3"/>
    <w:rsid w:val="00201557"/>
    <w:rsid w:val="00243DD8"/>
    <w:rsid w:val="00245EFF"/>
    <w:rsid w:val="00255634"/>
    <w:rsid w:val="003866DD"/>
    <w:rsid w:val="003D6287"/>
    <w:rsid w:val="00432B63"/>
    <w:rsid w:val="00451258"/>
    <w:rsid w:val="00531847"/>
    <w:rsid w:val="005571FD"/>
    <w:rsid w:val="006140F0"/>
    <w:rsid w:val="00624569"/>
    <w:rsid w:val="00642519"/>
    <w:rsid w:val="006A2951"/>
    <w:rsid w:val="006D302C"/>
    <w:rsid w:val="007465BD"/>
    <w:rsid w:val="008E4B7F"/>
    <w:rsid w:val="008F7679"/>
    <w:rsid w:val="00933937"/>
    <w:rsid w:val="00B0095D"/>
    <w:rsid w:val="00B15ADE"/>
    <w:rsid w:val="00CD5D24"/>
    <w:rsid w:val="00CF3BBC"/>
    <w:rsid w:val="00D4113C"/>
    <w:rsid w:val="00DF43FA"/>
    <w:rsid w:val="00E21946"/>
    <w:rsid w:val="00F83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9562759">
      <w:bodyDiv w:val="1"/>
      <w:marLeft w:val="0"/>
      <w:marRight w:val="0"/>
      <w:marTop w:val="0"/>
      <w:marBottom w:val="0"/>
      <w:divBdr>
        <w:top w:val="none" w:sz="0" w:space="0" w:color="auto"/>
        <w:left w:val="none" w:sz="0" w:space="0" w:color="auto"/>
        <w:bottom w:val="none" w:sz="0" w:space="0" w:color="auto"/>
        <w:right w:val="none" w:sz="0" w:space="0" w:color="auto"/>
      </w:divBdr>
    </w:div>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 w:id="2142723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640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10</Pages>
  <Words>3356</Words>
  <Characters>19134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24</cp:revision>
  <dcterms:created xsi:type="dcterms:W3CDTF">2017-12-15T12:40:00Z</dcterms:created>
  <dcterms:modified xsi:type="dcterms:W3CDTF">2021-02-08T07:40:00Z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