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2F" w:rsidRPr="00F01943" w:rsidRDefault="008F6D2F" w:rsidP="003B550E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F01943">
        <w:rPr>
          <w:sz w:val="28"/>
          <w:szCs w:val="28"/>
        </w:rPr>
        <w:t>постановлению администрации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8F6D2F" w:rsidRPr="00182E8E" w:rsidRDefault="008F6D2F" w:rsidP="003B550E">
      <w:pPr>
        <w:ind w:left="4536" w:right="-1"/>
        <w:jc w:val="center"/>
        <w:rPr>
          <w:sz w:val="28"/>
          <w:szCs w:val="28"/>
          <w:u w:val="single"/>
        </w:rPr>
      </w:pPr>
      <w:r w:rsidRPr="00182E8E">
        <w:rPr>
          <w:sz w:val="28"/>
          <w:szCs w:val="28"/>
          <w:u w:val="single"/>
        </w:rPr>
        <w:t>от 01.06.2017 № 97</w:t>
      </w:r>
    </w:p>
    <w:p w:rsidR="008F6D2F" w:rsidRPr="00302C4F" w:rsidRDefault="008F6D2F" w:rsidP="003B550E">
      <w:pPr>
        <w:ind w:left="4536" w:right="-1"/>
        <w:jc w:val="center"/>
        <w:rPr>
          <w:sz w:val="28"/>
          <w:szCs w:val="28"/>
        </w:rPr>
      </w:pP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№ 1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8F6D2F" w:rsidRDefault="008F6D2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8F6D2F" w:rsidRPr="00302C4F" w:rsidRDefault="008F6D2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</w:t>
      </w:r>
      <w:r w:rsidRPr="00302C4F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:rsidR="008F6D2F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(в редакции постановления</w:t>
      </w:r>
    </w:p>
    <w:p w:rsidR="008F6D2F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администрации Новотаманского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сельского поселения Темрюкского района</w:t>
      </w:r>
    </w:p>
    <w:p w:rsidR="008F6D2F" w:rsidRPr="00F01943" w:rsidRDefault="008F6D2F" w:rsidP="003B550E">
      <w:pPr>
        <w:ind w:left="4536" w:right="-1"/>
        <w:jc w:val="center"/>
        <w:rPr>
          <w:sz w:val="28"/>
          <w:szCs w:val="28"/>
        </w:rPr>
      </w:pPr>
      <w:r w:rsidRPr="00182E8E">
        <w:rPr>
          <w:sz w:val="28"/>
          <w:szCs w:val="28"/>
          <w:u w:val="single"/>
        </w:rPr>
        <w:t>от 01.06.2017 №</w:t>
      </w:r>
      <w:r w:rsidRPr="00182E8E">
        <w:rPr>
          <w:b/>
          <w:sz w:val="28"/>
          <w:szCs w:val="28"/>
          <w:u w:val="single"/>
        </w:rPr>
        <w:t xml:space="preserve"> </w:t>
      </w:r>
      <w:r w:rsidRPr="00182E8E">
        <w:rPr>
          <w:sz w:val="28"/>
          <w:szCs w:val="28"/>
          <w:u w:val="single"/>
        </w:rPr>
        <w:t>97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)»</w:t>
      </w:r>
    </w:p>
    <w:p w:rsidR="008F6D2F" w:rsidRPr="00302C4F" w:rsidRDefault="008F6D2F" w:rsidP="002377C4">
      <w:pPr>
        <w:ind w:right="-1"/>
        <w:rPr>
          <w:sz w:val="28"/>
          <w:szCs w:val="28"/>
        </w:rPr>
      </w:pPr>
    </w:p>
    <w:p w:rsidR="008F6D2F" w:rsidRPr="00E33D92" w:rsidRDefault="008F6D2F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8F6D2F" w:rsidRPr="00270879" w:rsidRDefault="008F6D2F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Муниципальная  программа </w:t>
      </w:r>
    </w:p>
    <w:p w:rsidR="008F6D2F" w:rsidRPr="00270879" w:rsidRDefault="008F6D2F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8F6D2F" w:rsidRPr="00270879" w:rsidRDefault="008F6D2F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на </w:t>
      </w:r>
      <w:r>
        <w:rPr>
          <w:bCs/>
          <w:color w:val="000000"/>
          <w:kern w:val="36"/>
          <w:sz w:val="28"/>
          <w:szCs w:val="28"/>
        </w:rPr>
        <w:t>2017</w:t>
      </w:r>
      <w:r w:rsidRPr="00270879">
        <w:rPr>
          <w:bCs/>
          <w:color w:val="000000"/>
          <w:kern w:val="36"/>
          <w:sz w:val="28"/>
          <w:szCs w:val="28"/>
        </w:rPr>
        <w:t xml:space="preserve"> год»</w:t>
      </w:r>
    </w:p>
    <w:p w:rsidR="008F6D2F" w:rsidRPr="00270879" w:rsidRDefault="008F6D2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8F6D2F" w:rsidRPr="00270879" w:rsidRDefault="008F6D2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8F6D2F" w:rsidRPr="00270879" w:rsidRDefault="008F6D2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8F6D2F" w:rsidRPr="00351C0D" w:rsidTr="0025229E">
        <w:trPr>
          <w:trHeight w:val="480"/>
        </w:trPr>
        <w:tc>
          <w:tcPr>
            <w:tcW w:w="3828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8F6D2F" w:rsidRPr="00351C0D" w:rsidTr="00724C31">
        <w:trPr>
          <w:trHeight w:val="480"/>
        </w:trPr>
        <w:tc>
          <w:tcPr>
            <w:tcW w:w="3828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F6D2F" w:rsidRPr="00351C0D" w:rsidTr="0025229E">
        <w:trPr>
          <w:trHeight w:val="480"/>
        </w:trPr>
        <w:tc>
          <w:tcPr>
            <w:tcW w:w="3828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F6D2F" w:rsidRPr="00351C0D" w:rsidTr="00724C31">
        <w:trPr>
          <w:trHeight w:val="480"/>
        </w:trPr>
        <w:tc>
          <w:tcPr>
            <w:tcW w:w="3828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8F6D2F" w:rsidRPr="003724A1" w:rsidRDefault="008F6D2F" w:rsidP="0025229E">
            <w:pPr>
              <w:rPr>
                <w:sz w:val="28"/>
                <w:szCs w:val="28"/>
              </w:rPr>
            </w:pPr>
          </w:p>
        </w:tc>
      </w:tr>
      <w:tr w:rsidR="008F6D2F" w:rsidRPr="00351C0D" w:rsidTr="0025229E">
        <w:trPr>
          <w:trHeight w:val="1086"/>
        </w:trPr>
        <w:tc>
          <w:tcPr>
            <w:tcW w:w="3828" w:type="dxa"/>
          </w:tcPr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8F6D2F" w:rsidRPr="00351C0D" w:rsidTr="0025229E">
        <w:trPr>
          <w:trHeight w:val="2040"/>
        </w:trPr>
        <w:tc>
          <w:tcPr>
            <w:tcW w:w="3828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>онной системы обнаружения ДТП. 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F6D2F" w:rsidRPr="00351C0D" w:rsidTr="0025229E">
        <w:trPr>
          <w:trHeight w:val="480"/>
        </w:trPr>
        <w:tc>
          <w:tcPr>
            <w:tcW w:w="3828" w:type="dxa"/>
          </w:tcPr>
          <w:p w:rsidR="008F6D2F" w:rsidRPr="00351C0D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8F6D2F" w:rsidRPr="00351C0D" w:rsidTr="0047380D">
        <w:trPr>
          <w:trHeight w:val="68"/>
        </w:trPr>
        <w:tc>
          <w:tcPr>
            <w:tcW w:w="3828" w:type="dxa"/>
          </w:tcPr>
          <w:p w:rsidR="008F6D2F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8F6D2F" w:rsidRPr="00351C0D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8F6D2F" w:rsidRDefault="008F6D2F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5B4089">
              <w:rPr>
                <w:color w:val="000000"/>
                <w:sz w:val="28"/>
                <w:szCs w:val="28"/>
              </w:rPr>
              <w:t>Финансирование программы за счет средств местного бюджета 8</w:t>
            </w:r>
            <w:r w:rsidRPr="005B4089">
              <w:rPr>
                <w:sz w:val="28"/>
                <w:szCs w:val="28"/>
              </w:rPr>
              <w:t>40,0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8F6D2F" w:rsidRPr="00CA0E2C" w:rsidRDefault="008F6D2F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8F6D2F" w:rsidRPr="00351C0D" w:rsidTr="0025229E">
        <w:trPr>
          <w:trHeight w:val="600"/>
        </w:trPr>
        <w:tc>
          <w:tcPr>
            <w:tcW w:w="3828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за </w:t>
            </w:r>
          </w:p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8F6D2F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8F6D2F" w:rsidRPr="00351C0D" w:rsidRDefault="008F6D2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F6D2F" w:rsidRDefault="008F6D2F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8F6D2F" w:rsidRPr="00270879" w:rsidRDefault="008F6D2F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  <w:r w:rsidRPr="00270879">
        <w:rPr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8F6D2F" w:rsidRPr="00BD56F9" w:rsidRDefault="008F6D2F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8F6D2F" w:rsidRPr="00270879" w:rsidRDefault="008F6D2F" w:rsidP="002377C4">
      <w:pPr>
        <w:shd w:val="clear" w:color="auto" w:fill="FFFFFF"/>
        <w:ind w:firstLine="709"/>
        <w:contextualSpacing/>
        <w:rPr>
          <w:color w:val="000000"/>
          <w:sz w:val="28"/>
          <w:szCs w:val="28"/>
        </w:rPr>
      </w:pPr>
    </w:p>
    <w:p w:rsidR="008F6D2F" w:rsidRDefault="008F6D2F" w:rsidP="002377C4">
      <w:pPr>
        <w:shd w:val="clear" w:color="auto" w:fill="FFFFFF"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 xml:space="preserve">Цели, задачи, целевые показатели, сроки и этапы реализации </w:t>
      </w:r>
    </w:p>
    <w:p w:rsidR="008F6D2F" w:rsidRPr="00270879" w:rsidRDefault="008F6D2F" w:rsidP="002377C4">
      <w:pPr>
        <w:shd w:val="clear" w:color="auto" w:fill="FFFFFF"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муниципальной  программы</w:t>
      </w:r>
    </w:p>
    <w:p w:rsidR="008F6D2F" w:rsidRPr="00DD28B6" w:rsidRDefault="008F6D2F" w:rsidP="002377C4">
      <w:pPr>
        <w:pStyle w:val="ListParagraph"/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8F6D2F" w:rsidRPr="00351C0D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8F6D2F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F6D2F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8F6D2F" w:rsidRDefault="008F6D2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8F6D2F" w:rsidRDefault="008F6D2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8F6D2F" w:rsidRPr="00270879" w:rsidRDefault="008F6D2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270879">
        <w:rPr>
          <w:color w:val="000000"/>
          <w:sz w:val="28"/>
          <w:szCs w:val="28"/>
        </w:rPr>
        <w:t>Целевые показатели муниципальной программы</w:t>
      </w:r>
    </w:p>
    <w:p w:rsidR="008F6D2F" w:rsidRDefault="008F6D2F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8F6D2F" w:rsidTr="0025229E">
        <w:tc>
          <w:tcPr>
            <w:tcW w:w="594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F6D2F" w:rsidTr="0025229E">
        <w:tc>
          <w:tcPr>
            <w:tcW w:w="594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8F6D2F" w:rsidRPr="0025229E" w:rsidRDefault="008F6D2F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8F6D2F" w:rsidRPr="0025229E" w:rsidRDefault="008F6D2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8F6D2F" w:rsidRDefault="008F6D2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8F6D2F" w:rsidRDefault="008F6D2F" w:rsidP="002377C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8F6D2F" w:rsidRDefault="008F6D2F" w:rsidP="002377C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программ</w:t>
      </w:r>
    </w:p>
    <w:p w:rsidR="008F6D2F" w:rsidRDefault="008F6D2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8F6D2F" w:rsidRPr="007B10B6" w:rsidTr="00673637">
        <w:trPr>
          <w:trHeight w:val="2484"/>
        </w:trPr>
        <w:tc>
          <w:tcPr>
            <w:tcW w:w="54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70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руб)</w:t>
            </w:r>
          </w:p>
        </w:tc>
        <w:tc>
          <w:tcPr>
            <w:tcW w:w="4107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F6D2F" w:rsidRPr="007B10B6" w:rsidTr="00FD0E36">
        <w:tc>
          <w:tcPr>
            <w:tcW w:w="54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F6D2F" w:rsidRPr="007B10B6" w:rsidTr="00413048">
        <w:tc>
          <w:tcPr>
            <w:tcW w:w="54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8F6D2F" w:rsidRPr="00AA0AF9" w:rsidRDefault="008F6D2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8F6D2F" w:rsidRPr="007B10B6" w:rsidTr="00413048">
        <w:tc>
          <w:tcPr>
            <w:tcW w:w="54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8F6D2F" w:rsidRPr="007B10B6" w:rsidRDefault="008F6D2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8F6D2F" w:rsidRPr="00AA0AF9" w:rsidRDefault="008F6D2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8F6D2F" w:rsidRPr="00D05270" w:rsidTr="00025387">
        <w:tc>
          <w:tcPr>
            <w:tcW w:w="540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8F6D2F" w:rsidRPr="00D05270" w:rsidTr="00037672">
        <w:tc>
          <w:tcPr>
            <w:tcW w:w="540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45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4253" w:type="dxa"/>
            <w:gridSpan w:val="2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8F6D2F" w:rsidRPr="00D05270" w:rsidTr="000D0D1C">
        <w:tc>
          <w:tcPr>
            <w:tcW w:w="540" w:type="dxa"/>
          </w:tcPr>
          <w:p w:rsidR="008F6D2F" w:rsidRPr="00E17A85" w:rsidRDefault="008F6D2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845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2" w:type="dxa"/>
            <w:gridSpan w:val="2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253" w:type="dxa"/>
            <w:gridSpan w:val="2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8F6D2F" w:rsidTr="0032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4253" w:type="dxa"/>
            <w:gridSpan w:val="2"/>
          </w:tcPr>
          <w:p w:rsidR="008F6D2F" w:rsidRPr="00E17A85" w:rsidRDefault="008F6D2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8F6D2F" w:rsidRPr="00E17A85" w:rsidRDefault="008F6D2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D2F" w:rsidRDefault="008F6D2F" w:rsidP="002377C4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8F6D2F" w:rsidRPr="00270879" w:rsidRDefault="008F6D2F" w:rsidP="002377C4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8F6D2F" w:rsidRDefault="008F6D2F" w:rsidP="002377C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840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6D2F" w:rsidRDefault="008F6D2F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8F6D2F" w:rsidRPr="00270879" w:rsidRDefault="008F6D2F" w:rsidP="002377C4">
      <w:pPr>
        <w:shd w:val="clear" w:color="auto" w:fill="FFFFFF"/>
        <w:contextualSpacing/>
        <w:jc w:val="center"/>
        <w:rPr>
          <w:sz w:val="28"/>
          <w:szCs w:val="28"/>
        </w:rPr>
      </w:pPr>
      <w:r w:rsidRPr="00270879">
        <w:rPr>
          <w:sz w:val="28"/>
          <w:szCs w:val="28"/>
        </w:rPr>
        <w:t>Методика оценки эффективности реализации</w:t>
      </w:r>
    </w:p>
    <w:p w:rsidR="008F6D2F" w:rsidRPr="00270879" w:rsidRDefault="008F6D2F" w:rsidP="002377C4">
      <w:pPr>
        <w:shd w:val="clear" w:color="auto" w:fill="FFFFFF"/>
        <w:contextualSpacing/>
        <w:jc w:val="center"/>
        <w:rPr>
          <w:color w:val="FF0000"/>
          <w:sz w:val="28"/>
          <w:szCs w:val="28"/>
        </w:rPr>
      </w:pPr>
      <w:r w:rsidRPr="00270879">
        <w:rPr>
          <w:sz w:val="28"/>
          <w:szCs w:val="28"/>
        </w:rPr>
        <w:t>муниципальной программы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8F6D2F" w:rsidRDefault="008F6D2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8F6D2F" w:rsidRPr="000B0312" w:rsidRDefault="008F6D2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8F6D2F" w:rsidRPr="00270879" w:rsidRDefault="008F6D2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Механизм реализации Программы</w:t>
      </w:r>
    </w:p>
    <w:p w:rsidR="008F6D2F" w:rsidRDefault="008F6D2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8F6D2F" w:rsidRDefault="008F6D2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8F6D2F" w:rsidRDefault="008F6D2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8F6D2F" w:rsidRDefault="008F6D2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8F6D2F" w:rsidRDefault="008F6D2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8F6D2F" w:rsidRPr="002377C4" w:rsidRDefault="008F6D2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отдела                                                             Е.Н. Даева</w:t>
      </w:r>
    </w:p>
    <w:sectPr w:rsidR="008F6D2F" w:rsidRPr="002377C4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D2F" w:rsidRDefault="008F6D2F" w:rsidP="00E716A1">
      <w:r>
        <w:separator/>
      </w:r>
    </w:p>
  </w:endnote>
  <w:endnote w:type="continuationSeparator" w:id="0">
    <w:p w:rsidR="008F6D2F" w:rsidRDefault="008F6D2F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D2F" w:rsidRDefault="008F6D2F" w:rsidP="00E716A1">
      <w:r>
        <w:separator/>
      </w:r>
    </w:p>
  </w:footnote>
  <w:footnote w:type="continuationSeparator" w:id="0">
    <w:p w:rsidR="008F6D2F" w:rsidRDefault="008F6D2F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2F" w:rsidRPr="002377C4" w:rsidRDefault="008F6D2F" w:rsidP="002377C4">
    <w:pPr>
      <w:pStyle w:val="Header"/>
      <w:jc w:val="center"/>
      <w:rPr>
        <w:sz w:val="28"/>
        <w:szCs w:val="28"/>
      </w:rPr>
    </w:pPr>
    <w:r w:rsidRPr="002377C4">
      <w:rPr>
        <w:sz w:val="28"/>
        <w:szCs w:val="28"/>
      </w:rPr>
      <w:fldChar w:fldCharType="begin"/>
    </w:r>
    <w:r w:rsidRPr="002377C4">
      <w:rPr>
        <w:sz w:val="28"/>
        <w:szCs w:val="28"/>
      </w:rPr>
      <w:instrText xml:space="preserve"> PAGE   \* MERGEFORMAT </w:instrText>
    </w:r>
    <w:r w:rsidRPr="002377C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377C4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37672"/>
    <w:rsid w:val="000B0312"/>
    <w:rsid w:val="000B5A47"/>
    <w:rsid w:val="000D0D1C"/>
    <w:rsid w:val="00157130"/>
    <w:rsid w:val="00182E8E"/>
    <w:rsid w:val="001C33BD"/>
    <w:rsid w:val="001E2E6F"/>
    <w:rsid w:val="001F331E"/>
    <w:rsid w:val="00217A29"/>
    <w:rsid w:val="00217D1A"/>
    <w:rsid w:val="002306BD"/>
    <w:rsid w:val="002377C4"/>
    <w:rsid w:val="0024109E"/>
    <w:rsid w:val="0025229E"/>
    <w:rsid w:val="00270879"/>
    <w:rsid w:val="00284A0C"/>
    <w:rsid w:val="002B2678"/>
    <w:rsid w:val="002F69B6"/>
    <w:rsid w:val="00302C4F"/>
    <w:rsid w:val="00307759"/>
    <w:rsid w:val="00311B64"/>
    <w:rsid w:val="003267EA"/>
    <w:rsid w:val="00327B4B"/>
    <w:rsid w:val="003302DE"/>
    <w:rsid w:val="00351C0D"/>
    <w:rsid w:val="003606DC"/>
    <w:rsid w:val="003724A1"/>
    <w:rsid w:val="00387701"/>
    <w:rsid w:val="003A4083"/>
    <w:rsid w:val="003B550E"/>
    <w:rsid w:val="00413048"/>
    <w:rsid w:val="0042268A"/>
    <w:rsid w:val="00450ADD"/>
    <w:rsid w:val="00454697"/>
    <w:rsid w:val="0047380D"/>
    <w:rsid w:val="00494CCC"/>
    <w:rsid w:val="004D616F"/>
    <w:rsid w:val="00586902"/>
    <w:rsid w:val="005B4089"/>
    <w:rsid w:val="005E3BD0"/>
    <w:rsid w:val="005F4744"/>
    <w:rsid w:val="00643FD1"/>
    <w:rsid w:val="00657B1F"/>
    <w:rsid w:val="00673637"/>
    <w:rsid w:val="0068395A"/>
    <w:rsid w:val="006A2B36"/>
    <w:rsid w:val="006F2A59"/>
    <w:rsid w:val="006F2CE5"/>
    <w:rsid w:val="00705414"/>
    <w:rsid w:val="00714F46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A08CD"/>
    <w:rsid w:val="008B2F55"/>
    <w:rsid w:val="008D7E54"/>
    <w:rsid w:val="008E47F4"/>
    <w:rsid w:val="008F6D2F"/>
    <w:rsid w:val="00923D40"/>
    <w:rsid w:val="00927DAE"/>
    <w:rsid w:val="009930EA"/>
    <w:rsid w:val="009B57CF"/>
    <w:rsid w:val="009D2528"/>
    <w:rsid w:val="009F74D7"/>
    <w:rsid w:val="00A21F26"/>
    <w:rsid w:val="00A52182"/>
    <w:rsid w:val="00A640F8"/>
    <w:rsid w:val="00AA0AF9"/>
    <w:rsid w:val="00AD054C"/>
    <w:rsid w:val="00AD597F"/>
    <w:rsid w:val="00B372E4"/>
    <w:rsid w:val="00B97342"/>
    <w:rsid w:val="00BB1F7E"/>
    <w:rsid w:val="00BB3E9A"/>
    <w:rsid w:val="00BD56F9"/>
    <w:rsid w:val="00C03A9C"/>
    <w:rsid w:val="00C225E2"/>
    <w:rsid w:val="00C431E7"/>
    <w:rsid w:val="00C6753F"/>
    <w:rsid w:val="00CA0E2C"/>
    <w:rsid w:val="00CE37CD"/>
    <w:rsid w:val="00D05270"/>
    <w:rsid w:val="00D15A66"/>
    <w:rsid w:val="00D40B83"/>
    <w:rsid w:val="00D549BF"/>
    <w:rsid w:val="00D73A26"/>
    <w:rsid w:val="00DB04B6"/>
    <w:rsid w:val="00DC243B"/>
    <w:rsid w:val="00DD0551"/>
    <w:rsid w:val="00DD28B6"/>
    <w:rsid w:val="00E0334C"/>
    <w:rsid w:val="00E17A85"/>
    <w:rsid w:val="00E20E98"/>
    <w:rsid w:val="00E25102"/>
    <w:rsid w:val="00E25309"/>
    <w:rsid w:val="00E3023F"/>
    <w:rsid w:val="00E33D92"/>
    <w:rsid w:val="00E716A1"/>
    <w:rsid w:val="00E96B3F"/>
    <w:rsid w:val="00ED2BF1"/>
    <w:rsid w:val="00EE0E02"/>
    <w:rsid w:val="00EF4B4C"/>
    <w:rsid w:val="00F01943"/>
    <w:rsid w:val="00F21DB8"/>
    <w:rsid w:val="00F67941"/>
    <w:rsid w:val="00F8778B"/>
    <w:rsid w:val="00F95399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</w:rPr>
  </w:style>
  <w:style w:type="paragraph" w:styleId="ListParagraph">
    <w:name w:val="List Paragraph"/>
    <w:basedOn w:val="Normal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1455</TotalTime>
  <Pages>6</Pages>
  <Words>1273</Words>
  <Characters>7258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43</cp:revision>
  <cp:lastPrinted>2017-06-01T11:03:00Z</cp:lastPrinted>
  <dcterms:created xsi:type="dcterms:W3CDTF">2015-02-10T13:00:00Z</dcterms:created>
  <dcterms:modified xsi:type="dcterms:W3CDTF">2017-06-02T12:21:00Z</dcterms:modified>
</cp:coreProperties>
</file>