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CA9" w:rsidRPr="00206B4F" w:rsidRDefault="00866CA9" w:rsidP="00A04AD1">
      <w:pPr>
        <w:widowControl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1000"/>
      <w:r w:rsidRPr="00206B4F">
        <w:rPr>
          <w:rFonts w:ascii="Times New Roman" w:hAnsi="Times New Roman" w:cs="Times New Roman"/>
          <w:sz w:val="28"/>
          <w:szCs w:val="28"/>
        </w:rPr>
        <w:t>ПРИЛОЖЕНИЕ</w:t>
      </w:r>
    </w:p>
    <w:p w:rsidR="00866CA9" w:rsidRPr="00206B4F" w:rsidRDefault="00866CA9" w:rsidP="00A04AD1">
      <w:pPr>
        <w:widowControl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06B4F">
        <w:rPr>
          <w:rFonts w:ascii="Times New Roman" w:hAnsi="Times New Roman" w:cs="Times New Roman"/>
          <w:sz w:val="28"/>
          <w:szCs w:val="28"/>
        </w:rPr>
        <w:t>к  постановлению администрации</w:t>
      </w:r>
    </w:p>
    <w:p w:rsidR="00866CA9" w:rsidRPr="00206B4F" w:rsidRDefault="00866CA9" w:rsidP="00A04AD1">
      <w:pPr>
        <w:widowControl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06B4F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</w:p>
    <w:p w:rsidR="00866CA9" w:rsidRPr="00206B4F" w:rsidRDefault="00866CA9" w:rsidP="00A04AD1">
      <w:pPr>
        <w:widowControl w:val="0"/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06B4F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866CA9" w:rsidRPr="00446A15" w:rsidRDefault="00866CA9" w:rsidP="00A04AD1">
      <w:pPr>
        <w:widowControl w:val="0"/>
        <w:spacing w:after="0" w:line="240" w:lineRule="auto"/>
        <w:ind w:left="4536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446A15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46A15">
        <w:rPr>
          <w:rFonts w:ascii="Times New Roman" w:hAnsi="Times New Roman" w:cs="Times New Roman"/>
          <w:sz w:val="28"/>
          <w:szCs w:val="28"/>
        </w:rPr>
        <w:t xml:space="preserve">  </w:t>
      </w:r>
      <w:r w:rsidRPr="00446A15">
        <w:rPr>
          <w:rFonts w:ascii="Times New Roman" w:hAnsi="Times New Roman" w:cs="Times New Roman"/>
          <w:sz w:val="28"/>
          <w:szCs w:val="28"/>
          <w:u w:val="single"/>
        </w:rPr>
        <w:t>от 11.04.2017года № 56</w:t>
      </w:r>
    </w:p>
    <w:p w:rsidR="00866CA9" w:rsidRDefault="00866CA9" w:rsidP="00E3514A">
      <w:pPr>
        <w:widowControl w:val="0"/>
        <w:shd w:val="clear" w:color="auto" w:fill="FFFFFF"/>
        <w:suppressAutoHyphens/>
        <w:spacing w:after="0" w:line="240" w:lineRule="auto"/>
        <w:contextualSpacing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866CA9" w:rsidRPr="00577B71" w:rsidRDefault="00866CA9" w:rsidP="00E3514A">
      <w:pPr>
        <w:widowControl w:val="0"/>
        <w:shd w:val="clear" w:color="auto" w:fill="FFFFFF"/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77B71">
        <w:rPr>
          <w:rFonts w:ascii="Times New Roman" w:hAnsi="Times New Roman"/>
          <w:b/>
          <w:bCs/>
          <w:color w:val="000000"/>
          <w:sz w:val="28"/>
          <w:szCs w:val="28"/>
        </w:rPr>
        <w:t xml:space="preserve">Муниципальная программа </w:t>
      </w:r>
      <w:r w:rsidRPr="00577B71">
        <w:rPr>
          <w:rFonts w:ascii="Times New Roman" w:hAnsi="Times New Roman"/>
          <w:b/>
          <w:sz w:val="28"/>
          <w:szCs w:val="28"/>
        </w:rPr>
        <w:t xml:space="preserve">«Жилище» </w:t>
      </w:r>
    </w:p>
    <w:p w:rsidR="00866CA9" w:rsidRPr="00577B71" w:rsidRDefault="00866CA9" w:rsidP="00E3514A">
      <w:pPr>
        <w:widowControl w:val="0"/>
        <w:shd w:val="clear" w:color="auto" w:fill="FFFFFF"/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77B71">
        <w:rPr>
          <w:rFonts w:ascii="Times New Roman" w:hAnsi="Times New Roman"/>
          <w:b/>
          <w:sz w:val="28"/>
          <w:szCs w:val="28"/>
        </w:rPr>
        <w:t xml:space="preserve">Новотаманского сельского поселения Темрюкского района </w:t>
      </w:r>
    </w:p>
    <w:p w:rsidR="00866CA9" w:rsidRPr="00577B71" w:rsidRDefault="00866CA9" w:rsidP="00E3514A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77B71">
        <w:rPr>
          <w:rFonts w:ascii="Times New Roman" w:hAnsi="Times New Roman"/>
          <w:b/>
          <w:sz w:val="28"/>
          <w:szCs w:val="28"/>
        </w:rPr>
        <w:t xml:space="preserve"> на  2017 год</w:t>
      </w:r>
    </w:p>
    <w:p w:rsidR="00866CA9" w:rsidRPr="000A6E2C" w:rsidRDefault="00866CA9" w:rsidP="00E3514A">
      <w:pPr>
        <w:widowControl w:val="0"/>
        <w:autoSpaceDE w:val="0"/>
        <w:spacing w:after="0" w:line="240" w:lineRule="auto"/>
        <w:contextualSpacing/>
        <w:jc w:val="center"/>
        <w:rPr>
          <w:rFonts w:ascii="Times New Roman" w:hAnsi="Times New Roman"/>
          <w:bCs/>
          <w:color w:val="000080"/>
          <w:sz w:val="28"/>
          <w:szCs w:val="28"/>
        </w:rPr>
      </w:pPr>
    </w:p>
    <w:p w:rsidR="00866CA9" w:rsidRPr="000A6E2C" w:rsidRDefault="00866CA9" w:rsidP="004B092F">
      <w:pPr>
        <w:widowControl w:val="0"/>
        <w:autoSpaceDE w:val="0"/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0A6E2C">
        <w:rPr>
          <w:rFonts w:ascii="Times New Roman" w:hAnsi="Times New Roman"/>
          <w:bCs/>
          <w:sz w:val="28"/>
          <w:szCs w:val="28"/>
        </w:rPr>
        <w:t xml:space="preserve">Паспорт муниципальной программы </w:t>
      </w:r>
    </w:p>
    <w:p w:rsidR="00866CA9" w:rsidRPr="000A6E2C" w:rsidRDefault="00866CA9" w:rsidP="00E3514A">
      <w:pPr>
        <w:widowControl w:val="0"/>
        <w:autoSpaceDE w:val="0"/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bookmarkEnd w:id="0"/>
    <w:p w:rsidR="00866CA9" w:rsidRPr="000A6E2C" w:rsidRDefault="00866CA9" w:rsidP="00E3514A">
      <w:pPr>
        <w:widowControl w:val="0"/>
        <w:autoSpaceDE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4111"/>
        <w:gridCol w:w="239"/>
        <w:gridCol w:w="5289"/>
      </w:tblGrid>
      <w:tr w:rsidR="00866CA9" w:rsidRPr="000A6E2C" w:rsidTr="00E3514A">
        <w:tc>
          <w:tcPr>
            <w:tcW w:w="4111" w:type="dxa"/>
          </w:tcPr>
          <w:p w:rsidR="00866CA9" w:rsidRPr="000A6E2C" w:rsidRDefault="00866CA9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239" w:type="dxa"/>
          </w:tcPr>
          <w:p w:rsidR="00866CA9" w:rsidRPr="000A6E2C" w:rsidRDefault="00866CA9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866CA9" w:rsidRPr="000A6E2C" w:rsidRDefault="00866CA9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отдел администрации Новотаманского сельского поселения Темрюкского района</w:t>
            </w:r>
          </w:p>
          <w:p w:rsidR="00866CA9" w:rsidRPr="000A6E2C" w:rsidRDefault="00866CA9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66CA9" w:rsidRPr="000A6E2C" w:rsidTr="00E3514A">
        <w:tc>
          <w:tcPr>
            <w:tcW w:w="4111" w:type="dxa"/>
          </w:tcPr>
          <w:p w:rsidR="00866CA9" w:rsidRPr="000A6E2C" w:rsidRDefault="00866CA9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Участники муниципальной </w:t>
            </w:r>
          </w:p>
          <w:p w:rsidR="00866CA9" w:rsidRPr="000A6E2C" w:rsidRDefault="00866CA9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239" w:type="dxa"/>
          </w:tcPr>
          <w:p w:rsidR="00866CA9" w:rsidRPr="000A6E2C" w:rsidRDefault="00866CA9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866CA9" w:rsidRPr="000A6E2C" w:rsidRDefault="00866CA9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Администрация Новотаманского сельского поселения Темрюкского района</w:t>
            </w:r>
          </w:p>
          <w:p w:rsidR="00866CA9" w:rsidRPr="000A6E2C" w:rsidRDefault="00866CA9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66CA9" w:rsidRPr="000A6E2C" w:rsidTr="00E3514A">
        <w:tc>
          <w:tcPr>
            <w:tcW w:w="4111" w:type="dxa"/>
          </w:tcPr>
          <w:p w:rsidR="00866CA9" w:rsidRPr="000A6E2C" w:rsidRDefault="00866CA9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Цели муниципальной  </w:t>
            </w:r>
          </w:p>
          <w:p w:rsidR="00866CA9" w:rsidRPr="000A6E2C" w:rsidRDefault="00866CA9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239" w:type="dxa"/>
          </w:tcPr>
          <w:p w:rsidR="00866CA9" w:rsidRPr="000A6E2C" w:rsidRDefault="00866CA9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866CA9" w:rsidRPr="000A6E2C" w:rsidRDefault="00866CA9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E2C">
              <w:rPr>
                <w:rFonts w:ascii="Times New Roman" w:hAnsi="Times New Roman" w:cs="Times New Roman"/>
                <w:sz w:val="28"/>
                <w:szCs w:val="28"/>
              </w:rPr>
              <w:t>- улучшение условий и качества жизни населения;</w:t>
            </w:r>
          </w:p>
          <w:p w:rsidR="00866CA9" w:rsidRPr="000A6E2C" w:rsidRDefault="00866CA9" w:rsidP="00E3514A">
            <w:pPr>
              <w:pStyle w:val="ConsPlusNormal"/>
              <w:widowControl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E2C">
              <w:rPr>
                <w:rFonts w:ascii="Times New Roman" w:hAnsi="Times New Roman" w:cs="Times New Roman"/>
                <w:sz w:val="28"/>
                <w:szCs w:val="28"/>
              </w:rPr>
              <w:t>- эффективное функционирование рынка жилья;</w:t>
            </w:r>
          </w:p>
          <w:p w:rsidR="00866CA9" w:rsidRPr="000A6E2C" w:rsidRDefault="00866CA9" w:rsidP="00E3514A">
            <w:pPr>
              <w:pStyle w:val="ConsPlusNormal"/>
              <w:widowControl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E2C">
              <w:rPr>
                <w:rFonts w:ascii="Times New Roman" w:hAnsi="Times New Roman" w:cs="Times New Roman"/>
                <w:sz w:val="28"/>
                <w:szCs w:val="28"/>
              </w:rPr>
              <w:t>- обеспечение социального благополучия в обществе</w:t>
            </w:r>
          </w:p>
          <w:p w:rsidR="00866CA9" w:rsidRPr="000A6E2C" w:rsidRDefault="00866CA9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66CA9" w:rsidRPr="000A6E2C" w:rsidTr="00E3514A">
        <w:tc>
          <w:tcPr>
            <w:tcW w:w="4111" w:type="dxa"/>
          </w:tcPr>
          <w:p w:rsidR="00866CA9" w:rsidRPr="000A6E2C" w:rsidRDefault="00866CA9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Задачи муниципальной </w:t>
            </w:r>
          </w:p>
          <w:p w:rsidR="00866CA9" w:rsidRPr="000A6E2C" w:rsidRDefault="00866CA9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866CA9" w:rsidRPr="000A6E2C" w:rsidRDefault="00866CA9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" w:type="dxa"/>
          </w:tcPr>
          <w:p w:rsidR="00866CA9" w:rsidRPr="000A6E2C" w:rsidRDefault="00866CA9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866CA9" w:rsidRPr="000A6E2C" w:rsidRDefault="00866CA9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разработка проектов и строительство подводящих инженерных сетей к земельным участкам, предусмотренных под жилищное строительство на территории Новотаманского сельского поселения Темрюкского района, обеспечение развития инфраструктуры Новотаманского сельского поселения Темрюкского района, повышения степени доступности  микрорайонов жилой застройки</w:t>
            </w:r>
          </w:p>
          <w:p w:rsidR="00866CA9" w:rsidRPr="000A6E2C" w:rsidRDefault="00866CA9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6CA9" w:rsidRPr="000A6E2C" w:rsidTr="00E3514A">
        <w:tc>
          <w:tcPr>
            <w:tcW w:w="4111" w:type="dxa"/>
          </w:tcPr>
          <w:p w:rsidR="00866CA9" w:rsidRPr="000A6E2C" w:rsidRDefault="00866CA9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  <w:p w:rsidR="00866CA9" w:rsidRPr="000A6E2C" w:rsidRDefault="00866CA9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" w:type="dxa"/>
          </w:tcPr>
          <w:p w:rsidR="00866CA9" w:rsidRPr="000A6E2C" w:rsidRDefault="00866CA9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866CA9" w:rsidRPr="000A6E2C" w:rsidRDefault="00866CA9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 w:cs="Times New Roman"/>
                <w:sz w:val="28"/>
                <w:szCs w:val="28"/>
              </w:rPr>
              <w:t xml:space="preserve">Площадь земельного участка; 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количество земельных участков под индивидуальное жилищное строительство; доля  многодетных семей, обеспечиваемых земельными участками под  строительство жилья    </w:t>
            </w:r>
          </w:p>
          <w:p w:rsidR="00866CA9" w:rsidRPr="000A6E2C" w:rsidRDefault="00866CA9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</w:tr>
      <w:tr w:rsidR="00866CA9" w:rsidRPr="000A6E2C" w:rsidTr="00E3514A">
        <w:tc>
          <w:tcPr>
            <w:tcW w:w="4111" w:type="dxa"/>
          </w:tcPr>
          <w:p w:rsidR="00866CA9" w:rsidRPr="000A6E2C" w:rsidRDefault="00866CA9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Этапы и сроки реализации </w:t>
            </w:r>
          </w:p>
          <w:p w:rsidR="00866CA9" w:rsidRPr="000A6E2C" w:rsidRDefault="00866CA9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  <w:p w:rsidR="00866CA9" w:rsidRPr="000A6E2C" w:rsidRDefault="00866CA9" w:rsidP="00E3514A">
            <w:pPr>
              <w:widowControl w:val="0"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" w:type="dxa"/>
          </w:tcPr>
          <w:p w:rsidR="00866CA9" w:rsidRPr="000A6E2C" w:rsidRDefault="00866CA9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866CA9" w:rsidRPr="000A6E2C" w:rsidRDefault="00866CA9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  год</w:t>
            </w:r>
          </w:p>
        </w:tc>
      </w:tr>
      <w:tr w:rsidR="00866CA9" w:rsidRPr="000A6E2C" w:rsidTr="00E3514A">
        <w:tc>
          <w:tcPr>
            <w:tcW w:w="4111" w:type="dxa"/>
          </w:tcPr>
          <w:p w:rsidR="00866CA9" w:rsidRPr="000A6E2C" w:rsidRDefault="00866CA9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Объем бюджетных ассигнов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>а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>ний муниципальной программы</w:t>
            </w:r>
          </w:p>
        </w:tc>
        <w:tc>
          <w:tcPr>
            <w:tcW w:w="239" w:type="dxa"/>
          </w:tcPr>
          <w:p w:rsidR="00866CA9" w:rsidRPr="000A6E2C" w:rsidRDefault="00866CA9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866CA9" w:rsidRPr="000A6E2C" w:rsidRDefault="00866CA9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Общий объем финансирования Програ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>м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мы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2456,3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 тысяч рублей, средства местного бюджета. </w:t>
            </w:r>
          </w:p>
          <w:p w:rsidR="00866CA9" w:rsidRPr="000A6E2C" w:rsidRDefault="00866CA9" w:rsidP="00E3514A">
            <w:pPr>
              <w:widowControl w:val="0"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66CA9" w:rsidRPr="000A6E2C" w:rsidTr="00E3514A">
        <w:trPr>
          <w:trHeight w:val="1439"/>
        </w:trPr>
        <w:tc>
          <w:tcPr>
            <w:tcW w:w="4111" w:type="dxa"/>
          </w:tcPr>
          <w:p w:rsidR="00866CA9" w:rsidRPr="000A6E2C" w:rsidRDefault="00866CA9" w:rsidP="00E3514A">
            <w:pPr>
              <w:widowControl w:val="0"/>
              <w:autoSpaceDE w:val="0"/>
              <w:snapToGrid w:val="0"/>
              <w:spacing w:after="0" w:line="240" w:lineRule="auto"/>
              <w:ind w:right="-292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Контроль за выполнением </w:t>
            </w:r>
          </w:p>
          <w:p w:rsidR="00866CA9" w:rsidRPr="000A6E2C" w:rsidRDefault="00866CA9" w:rsidP="00E3514A">
            <w:pPr>
              <w:widowControl w:val="0"/>
              <w:autoSpaceDE w:val="0"/>
              <w:snapToGrid w:val="0"/>
              <w:spacing w:after="0" w:line="240" w:lineRule="auto"/>
              <w:ind w:right="-292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</w:p>
          <w:p w:rsidR="00866CA9" w:rsidRPr="000A6E2C" w:rsidRDefault="00866CA9" w:rsidP="00E3514A">
            <w:pPr>
              <w:widowControl w:val="0"/>
              <w:autoSpaceDE w:val="0"/>
              <w:snapToGrid w:val="0"/>
              <w:spacing w:after="0" w:line="240" w:lineRule="auto"/>
              <w:ind w:right="-292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239" w:type="dxa"/>
          </w:tcPr>
          <w:p w:rsidR="00866CA9" w:rsidRPr="000A6E2C" w:rsidRDefault="00866CA9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9" w:type="dxa"/>
          </w:tcPr>
          <w:p w:rsidR="00866CA9" w:rsidRPr="000A6E2C" w:rsidRDefault="00866CA9" w:rsidP="00E3514A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0A6E2C">
              <w:rPr>
                <w:rFonts w:ascii="Times New Roman" w:hAnsi="Times New Roman"/>
                <w:spacing w:val="-6"/>
                <w:sz w:val="28"/>
                <w:szCs w:val="28"/>
              </w:rPr>
              <w:t>Новотаманского сельского поселения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 Темрюкского района, Совет  </w:t>
            </w:r>
            <w:r w:rsidRPr="000A6E2C">
              <w:rPr>
                <w:rFonts w:ascii="Times New Roman" w:hAnsi="Times New Roman"/>
                <w:spacing w:val="-6"/>
                <w:sz w:val="28"/>
                <w:szCs w:val="28"/>
              </w:rPr>
              <w:t>Новотаманского сельского поселения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 Те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>м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>рюкского района</w:t>
            </w:r>
          </w:p>
        </w:tc>
      </w:tr>
    </w:tbl>
    <w:p w:rsidR="00866CA9" w:rsidRPr="000A6E2C" w:rsidRDefault="00866CA9" w:rsidP="00E3514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66CA9" w:rsidRPr="000A6E2C" w:rsidRDefault="00866CA9" w:rsidP="00E3514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>Характеристика сферы деятельности, содержание проблемы и</w:t>
      </w:r>
    </w:p>
    <w:p w:rsidR="00866CA9" w:rsidRPr="000A6E2C" w:rsidRDefault="00866CA9" w:rsidP="00E3514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>обоснование необходимости ее решения программным методом</w:t>
      </w:r>
    </w:p>
    <w:p w:rsidR="00866CA9" w:rsidRPr="000A6E2C" w:rsidRDefault="00866CA9" w:rsidP="00E3514A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66CA9" w:rsidRPr="000A6E2C" w:rsidRDefault="00866CA9" w:rsidP="00577B71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Удовлетворение потребности в комфортном жилье - одна из насущных проблем в современной России.</w:t>
      </w:r>
    </w:p>
    <w:p w:rsidR="00866CA9" w:rsidRPr="000A6E2C" w:rsidRDefault="00866CA9" w:rsidP="00577B71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Строительная отрасль является точкой роста экономики государства, залогом его эффективного развития.</w:t>
      </w:r>
    </w:p>
    <w:p w:rsidR="00866CA9" w:rsidRPr="000A6E2C" w:rsidRDefault="00866CA9" w:rsidP="00577B71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Наличие собственного жилья является одной из базовых ценностей человеческого существования, основных его потребностей, обеспечивающих здоровье нации, формирование семьи и сохранение семейных ценностей, стабилизацию и положительное развитие демографической ситуации.</w:t>
      </w:r>
    </w:p>
    <w:p w:rsidR="00866CA9" w:rsidRPr="000A6E2C" w:rsidRDefault="00866CA9" w:rsidP="00577B71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Жилищное строительство на территории поселения ведется разрозненно, застройка территорий носит точечный характер, отсутствуют долгосрочные планы по выделению земельных участков для комплексного освоения.</w:t>
      </w:r>
    </w:p>
    <w:p w:rsidR="00866CA9" w:rsidRPr="000A6E2C" w:rsidRDefault="00866CA9" w:rsidP="00577B71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 xml:space="preserve">Сохраняется напряженность в обеспечении жильем малоимущих граждан и граждан отдельных категорий, определенных законодательством Российской Федерации и законодательством Краснодарского края, в пределах установленных социальных стандартов. </w:t>
      </w:r>
    </w:p>
    <w:p w:rsidR="00866CA9" w:rsidRPr="000A6E2C" w:rsidRDefault="00866CA9" w:rsidP="00577B71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Особенно остро жилищная проблема стоит перед молодыми и многодетными семьями, их финансовые возможности ограничены, так как в подавляющей массе они имеют низкие доходы и не имеют накоплений.</w:t>
      </w:r>
    </w:p>
    <w:p w:rsidR="00866CA9" w:rsidRPr="000A6E2C" w:rsidRDefault="00866CA9" w:rsidP="00577B71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Несмотря на создание основ функционирования ипотечного жилищного рынка, приобретение и строительство жилья с использованием рыночных механизмов на практике доступны лишь ограниченному кругу семей. В связи с ухудшением финансового состояния заемщиков в условиях мирового финансового кризиса, ростом просроченной задолженности кредитные организации в целях минимизации рисков вынуждены были ужесточить условия ипотечного кредитования, в том числе увеличив размер первоначального взноса, что в определенной мере привело к снижению потребительского спроса граждан на построенное (строящееся) жилье.</w:t>
      </w:r>
    </w:p>
    <w:p w:rsidR="00866CA9" w:rsidRPr="000A6E2C" w:rsidRDefault="00866CA9" w:rsidP="00577B71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В рамках реализации программы решение жилищной проблемы:</w:t>
      </w:r>
    </w:p>
    <w:p w:rsidR="00866CA9" w:rsidRPr="000A6E2C" w:rsidRDefault="00866CA9" w:rsidP="00577B71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- направлено на улучшение условий и качества жизни населения, эффективное функционирование рынка жилья;</w:t>
      </w:r>
    </w:p>
    <w:p w:rsidR="00866CA9" w:rsidRPr="000A6E2C" w:rsidRDefault="00866CA9" w:rsidP="00577B71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 xml:space="preserve">- носит межотраслевой и межведомственный характер и требует государственного участия;  </w:t>
      </w:r>
    </w:p>
    <w:p w:rsidR="00866CA9" w:rsidRPr="000A6E2C" w:rsidRDefault="00866CA9" w:rsidP="00577B71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- носит комплексный характер, дает значительный мультипликативный эффект в различных отраслях экономики и способствует обеспечению социального благополучия в обществе.</w:t>
      </w:r>
    </w:p>
    <w:p w:rsidR="00866CA9" w:rsidRPr="000A6E2C" w:rsidRDefault="00866CA9" w:rsidP="00577B71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Использование программно-целевого метода направлено на создание условий для эффективного управления ресурсами, в том числе финансовыми.</w:t>
      </w:r>
    </w:p>
    <w:p w:rsidR="00866CA9" w:rsidRPr="000A6E2C" w:rsidRDefault="00866CA9" w:rsidP="00577B71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Цели, задачи и основные направления реализации программы позволяют учесть основные проблемы в строительстве и приобретении жилья на территории Краснодарского края и в рамках финансирования определить приоритетность тех или иных мероприятий программы.</w:t>
      </w:r>
    </w:p>
    <w:p w:rsidR="00866CA9" w:rsidRPr="000A6E2C" w:rsidRDefault="00866CA9" w:rsidP="00577B71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Одним из основных принципов программы является доступность жилья для всех категорий граждан. На этой основе будут решаться и вопросы обеспечения жильем малоимущих граждан и отдельных категорий граждан, определенных законодательством.</w:t>
      </w:r>
    </w:p>
    <w:p w:rsidR="00866CA9" w:rsidRPr="000A6E2C" w:rsidRDefault="00866CA9" w:rsidP="00577B71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Достигнутые результаты в рамках реализации программ "Жилище" в предшествующие годы дают основание утверждать, что реализация мероприятий программы и продуктивное использование бюджетных средств невозможны без использования программно-целевого метода.</w:t>
      </w:r>
    </w:p>
    <w:p w:rsidR="00866CA9" w:rsidRPr="000A6E2C" w:rsidRDefault="00866CA9" w:rsidP="00577B71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Комплексное решение основных проблем программно-целевым методом позволит обеспечить согласование и реализацию решений по мероприятиям программы и сократить временные и материальные затраты.</w:t>
      </w:r>
    </w:p>
    <w:p w:rsidR="00866CA9" w:rsidRPr="000A6E2C" w:rsidRDefault="00866CA9" w:rsidP="00E3514A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66CA9" w:rsidRDefault="00866CA9" w:rsidP="00577B71">
      <w:pPr>
        <w:pStyle w:val="ConsPlusNormal"/>
        <w:widowControl w:val="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 xml:space="preserve">Цели, задачи и целевые показатели, сроки и этапы реализации </w:t>
      </w:r>
    </w:p>
    <w:p w:rsidR="00866CA9" w:rsidRPr="000A6E2C" w:rsidRDefault="00866CA9" w:rsidP="00577B71">
      <w:pPr>
        <w:pStyle w:val="ConsPlusNormal"/>
        <w:widowControl w:val="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866CA9" w:rsidRPr="000A6E2C" w:rsidRDefault="00866CA9" w:rsidP="00E3514A">
      <w:pPr>
        <w:pStyle w:val="ConsPlusNormal"/>
        <w:widowControl w:val="0"/>
        <w:ind w:left="660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6CA9" w:rsidRPr="000A6E2C" w:rsidRDefault="00866CA9" w:rsidP="00577B71">
      <w:pPr>
        <w:pStyle w:val="ConsPlusNormal"/>
        <w:widowControl w:val="0"/>
        <w:snapToGri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 xml:space="preserve">Основными целями программы являются улучшение условий и качества жизни населения, эффективное функционирование рынка жилья, обеспечение социального благополучия в обществе. </w:t>
      </w:r>
    </w:p>
    <w:p w:rsidR="00866CA9" w:rsidRPr="000A6E2C" w:rsidRDefault="00866CA9" w:rsidP="00577B71">
      <w:pPr>
        <w:pStyle w:val="ConsPlusNormal"/>
        <w:widowControl w:val="0"/>
        <w:snapToGri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/>
          <w:color w:val="000000"/>
          <w:spacing w:val="1"/>
          <w:sz w:val="28"/>
          <w:szCs w:val="28"/>
        </w:rPr>
        <w:t xml:space="preserve">Основными задачами программы является </w:t>
      </w:r>
      <w:r w:rsidRPr="000A6E2C">
        <w:rPr>
          <w:rFonts w:ascii="Times New Roman" w:hAnsi="Times New Roman"/>
          <w:sz w:val="28"/>
          <w:szCs w:val="28"/>
        </w:rPr>
        <w:t xml:space="preserve">разработка проектов и строительство подводящих инженерных сетей к земельным участкам, предусмотренных под жилищное строительство на территории Новотаманского сельского поселения Темрюкского района, обеспечение развития инфраструктуры Новотаманского сельского поселения Темрюкского района, повышения степени доступности  микрорайонов жилой застройки. </w:t>
      </w:r>
    </w:p>
    <w:p w:rsidR="00866CA9" w:rsidRDefault="00866CA9" w:rsidP="00577B71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Срок реализации Программы – 2016</w:t>
      </w:r>
      <w:r w:rsidRPr="000A6E2C">
        <w:rPr>
          <w:rFonts w:ascii="Times New Roman" w:hAnsi="Times New Roman" w:cs="Times New Roman"/>
          <w:color w:val="000000"/>
          <w:sz w:val="28"/>
          <w:szCs w:val="28"/>
        </w:rPr>
        <w:t xml:space="preserve"> год.</w:t>
      </w:r>
    </w:p>
    <w:p w:rsidR="00866CA9" w:rsidRPr="000A6E2C" w:rsidRDefault="00866CA9" w:rsidP="00E3514A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66CA9" w:rsidRDefault="00866CA9" w:rsidP="00E3514A">
      <w:pPr>
        <w:pStyle w:val="ConsPlusNormal"/>
        <w:widowControl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66CA9" w:rsidRDefault="00866CA9" w:rsidP="00E3514A">
      <w:pPr>
        <w:pStyle w:val="ConsPlusNormal"/>
        <w:widowControl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66CA9" w:rsidRPr="000A6E2C" w:rsidRDefault="00866CA9" w:rsidP="00577B71">
      <w:pPr>
        <w:pStyle w:val="ConsPlusNormal"/>
        <w:widowControl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 xml:space="preserve">Целевые показатели программы </w:t>
      </w:r>
    </w:p>
    <w:p w:rsidR="00866CA9" w:rsidRPr="000A6E2C" w:rsidRDefault="00866CA9" w:rsidP="00E3514A">
      <w:pPr>
        <w:pStyle w:val="ConsPlusNormal"/>
        <w:widowControl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94"/>
        <w:gridCol w:w="5360"/>
        <w:gridCol w:w="1417"/>
        <w:gridCol w:w="2268"/>
      </w:tblGrid>
      <w:tr w:rsidR="00866CA9" w:rsidRPr="00E3514A" w:rsidTr="00C25243">
        <w:tc>
          <w:tcPr>
            <w:tcW w:w="594" w:type="dxa"/>
          </w:tcPr>
          <w:p w:rsidR="00866CA9" w:rsidRPr="00E3514A" w:rsidRDefault="00866CA9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866CA9" w:rsidRPr="00E3514A" w:rsidRDefault="00866CA9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360" w:type="dxa"/>
          </w:tcPr>
          <w:p w:rsidR="00866CA9" w:rsidRPr="00E3514A" w:rsidRDefault="00866CA9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417" w:type="dxa"/>
          </w:tcPr>
          <w:p w:rsidR="00866CA9" w:rsidRPr="00E3514A" w:rsidRDefault="00866CA9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268" w:type="dxa"/>
          </w:tcPr>
          <w:p w:rsidR="00866CA9" w:rsidRPr="00E3514A" w:rsidRDefault="00866CA9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Значение показат</w:t>
            </w: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 на 2017</w:t>
            </w: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66CA9" w:rsidRPr="00E3514A" w:rsidTr="00C25243">
        <w:trPr>
          <w:trHeight w:val="347"/>
        </w:trPr>
        <w:tc>
          <w:tcPr>
            <w:tcW w:w="594" w:type="dxa"/>
          </w:tcPr>
          <w:p w:rsidR="00866CA9" w:rsidRPr="00E3514A" w:rsidRDefault="00866CA9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5360" w:type="dxa"/>
          </w:tcPr>
          <w:p w:rsidR="00866CA9" w:rsidRPr="00E3514A" w:rsidRDefault="00866CA9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/>
                <w:sz w:val="24"/>
                <w:szCs w:val="24"/>
              </w:rPr>
              <w:t>Площадь земельного участка под застройку</w:t>
            </w:r>
          </w:p>
        </w:tc>
        <w:tc>
          <w:tcPr>
            <w:tcW w:w="1417" w:type="dxa"/>
          </w:tcPr>
          <w:p w:rsidR="00866CA9" w:rsidRPr="00E3514A" w:rsidRDefault="00866CA9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268" w:type="dxa"/>
          </w:tcPr>
          <w:p w:rsidR="00866CA9" w:rsidRPr="00E3514A" w:rsidRDefault="00866CA9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27,27</w:t>
            </w:r>
          </w:p>
        </w:tc>
      </w:tr>
      <w:tr w:rsidR="00866CA9" w:rsidRPr="00E3514A" w:rsidTr="00C25243">
        <w:tc>
          <w:tcPr>
            <w:tcW w:w="594" w:type="dxa"/>
          </w:tcPr>
          <w:p w:rsidR="00866CA9" w:rsidRPr="00E3514A" w:rsidRDefault="00866CA9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5360" w:type="dxa"/>
          </w:tcPr>
          <w:p w:rsidR="00866CA9" w:rsidRPr="00E3514A" w:rsidRDefault="00866CA9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/>
                <w:sz w:val="24"/>
                <w:szCs w:val="24"/>
              </w:rPr>
              <w:t>Количество земельных участков под индивид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у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альное жилищное строительство</w:t>
            </w:r>
          </w:p>
        </w:tc>
        <w:tc>
          <w:tcPr>
            <w:tcW w:w="1417" w:type="dxa"/>
          </w:tcPr>
          <w:p w:rsidR="00866CA9" w:rsidRPr="00E3514A" w:rsidRDefault="00866CA9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68" w:type="dxa"/>
          </w:tcPr>
          <w:p w:rsidR="00866CA9" w:rsidRPr="00E3514A" w:rsidRDefault="00866CA9" w:rsidP="00A04A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</w:tr>
      <w:tr w:rsidR="00866CA9" w:rsidRPr="00E3514A" w:rsidTr="00C25243">
        <w:tc>
          <w:tcPr>
            <w:tcW w:w="594" w:type="dxa"/>
          </w:tcPr>
          <w:p w:rsidR="00866CA9" w:rsidRPr="00E3514A" w:rsidRDefault="00866CA9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5360" w:type="dxa"/>
          </w:tcPr>
          <w:p w:rsidR="00866CA9" w:rsidRPr="00E3514A" w:rsidRDefault="00866CA9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14A">
              <w:rPr>
                <w:rFonts w:ascii="Times New Roman" w:hAnsi="Times New Roman"/>
                <w:sz w:val="24"/>
                <w:szCs w:val="24"/>
              </w:rPr>
              <w:t>Доля  многодетных семей, обеспечиваемых з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е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мельными участками под  строительство жилья</w:t>
            </w:r>
          </w:p>
        </w:tc>
        <w:tc>
          <w:tcPr>
            <w:tcW w:w="1417" w:type="dxa"/>
          </w:tcPr>
          <w:p w:rsidR="00866CA9" w:rsidRPr="00E3514A" w:rsidRDefault="00866CA9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CA9" w:rsidRPr="00E3514A" w:rsidRDefault="00866CA9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866CA9" w:rsidRPr="00E3514A" w:rsidRDefault="00866CA9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866CA9" w:rsidRPr="00E3514A" w:rsidRDefault="00866CA9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:rsidR="00866CA9" w:rsidRPr="000A6E2C" w:rsidRDefault="00866CA9" w:rsidP="00E3514A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66CA9" w:rsidRPr="000A6E2C" w:rsidRDefault="00866CA9" w:rsidP="00E3514A">
      <w:pPr>
        <w:pStyle w:val="ConsPlusNormal"/>
        <w:widowControl w:val="0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Перечень и краткое описание основных мероприятий</w:t>
      </w:r>
    </w:p>
    <w:p w:rsidR="00866CA9" w:rsidRPr="000A6E2C" w:rsidRDefault="00866CA9" w:rsidP="00E3514A">
      <w:pPr>
        <w:pStyle w:val="ConsPlusNormal"/>
        <w:widowControl w:val="0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</w:p>
    <w:p w:rsidR="00866CA9" w:rsidRPr="000A6E2C" w:rsidRDefault="00866CA9" w:rsidP="00E3514A">
      <w:pPr>
        <w:pStyle w:val="ConsPlusNormal"/>
        <w:widowControl w:val="0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567"/>
        <w:gridCol w:w="2552"/>
        <w:gridCol w:w="1134"/>
        <w:gridCol w:w="1134"/>
        <w:gridCol w:w="142"/>
        <w:gridCol w:w="992"/>
        <w:gridCol w:w="1559"/>
        <w:gridCol w:w="1276"/>
      </w:tblGrid>
      <w:tr w:rsidR="00866CA9" w:rsidRPr="00E3514A" w:rsidTr="00F52BC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№</w:t>
            </w:r>
            <w:r w:rsidRPr="00E3514A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Наименование мер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Исто</w:t>
            </w:r>
            <w:r w:rsidRPr="00E3514A">
              <w:rPr>
                <w:rFonts w:ascii="Times New Roman" w:hAnsi="Times New Roman" w:cs="Times New Roman"/>
              </w:rPr>
              <w:t>ч</w:t>
            </w:r>
            <w:r w:rsidRPr="00E3514A">
              <w:rPr>
                <w:rFonts w:ascii="Times New Roman" w:hAnsi="Times New Roman" w:cs="Times New Roman"/>
              </w:rPr>
              <w:t>ник ф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нанс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FD69AB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Объем финанс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рования, все</w:t>
            </w:r>
            <w:r>
              <w:rPr>
                <w:rFonts w:ascii="Times New Roman" w:hAnsi="Times New Roman" w:cs="Times New Roman"/>
              </w:rPr>
              <w:t>го (тыс.</w:t>
            </w:r>
            <w:r w:rsidRPr="00E3514A">
              <w:rPr>
                <w:rFonts w:ascii="Times New Roman" w:hAnsi="Times New Roman" w:cs="Times New Roman"/>
              </w:rPr>
              <w:t xml:space="preserve">руб)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 том числе по г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дам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Непосредс</w:t>
            </w:r>
            <w:r w:rsidRPr="00E3514A">
              <w:rPr>
                <w:rFonts w:ascii="Times New Roman" w:hAnsi="Times New Roman" w:cs="Times New Roman"/>
              </w:rPr>
              <w:t>т</w:t>
            </w:r>
            <w:r w:rsidRPr="00E3514A">
              <w:rPr>
                <w:rFonts w:ascii="Times New Roman" w:hAnsi="Times New Roman" w:cs="Times New Roman"/>
              </w:rPr>
              <w:t>венный р</w:t>
            </w:r>
            <w:r w:rsidRPr="00E3514A">
              <w:rPr>
                <w:rFonts w:ascii="Times New Roman" w:hAnsi="Times New Roman" w:cs="Times New Roman"/>
              </w:rPr>
              <w:t>е</w:t>
            </w:r>
            <w:r w:rsidRPr="00E3514A">
              <w:rPr>
                <w:rFonts w:ascii="Times New Roman" w:hAnsi="Times New Roman" w:cs="Times New Roman"/>
              </w:rPr>
              <w:t>зультат ре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лизации м</w:t>
            </w:r>
            <w:r w:rsidRPr="00E3514A">
              <w:rPr>
                <w:rFonts w:ascii="Times New Roman" w:hAnsi="Times New Roman" w:cs="Times New Roman"/>
              </w:rPr>
              <w:t>е</w:t>
            </w:r>
            <w:r w:rsidRPr="00E3514A">
              <w:rPr>
                <w:rFonts w:ascii="Times New Roman" w:hAnsi="Times New Roman" w:cs="Times New Roman"/>
              </w:rPr>
              <w:t>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Заказчик, главный распор</w:t>
            </w:r>
            <w:r w:rsidRPr="00E3514A">
              <w:rPr>
                <w:rFonts w:ascii="Times New Roman" w:hAnsi="Times New Roman" w:cs="Times New Roman"/>
              </w:rPr>
              <w:t>я</w:t>
            </w:r>
            <w:r w:rsidRPr="00E3514A">
              <w:rPr>
                <w:rFonts w:ascii="Times New Roman" w:hAnsi="Times New Roman" w:cs="Times New Roman"/>
              </w:rPr>
              <w:t>дитель (распор</w:t>
            </w:r>
            <w:r w:rsidRPr="00E3514A">
              <w:rPr>
                <w:rFonts w:ascii="Times New Roman" w:hAnsi="Times New Roman" w:cs="Times New Roman"/>
              </w:rPr>
              <w:t>я</w:t>
            </w:r>
            <w:r w:rsidRPr="00E3514A">
              <w:rPr>
                <w:rFonts w:ascii="Times New Roman" w:hAnsi="Times New Roman" w:cs="Times New Roman"/>
              </w:rPr>
              <w:t>дитель) бюдже</w:t>
            </w:r>
            <w:r w:rsidRPr="00E3514A">
              <w:rPr>
                <w:rFonts w:ascii="Times New Roman" w:hAnsi="Times New Roman" w:cs="Times New Roman"/>
              </w:rPr>
              <w:t>т</w:t>
            </w:r>
            <w:r w:rsidRPr="00E3514A">
              <w:rPr>
                <w:rFonts w:ascii="Times New Roman" w:hAnsi="Times New Roman" w:cs="Times New Roman"/>
              </w:rPr>
              <w:t>ных средств, исполн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тель</w:t>
            </w:r>
          </w:p>
        </w:tc>
      </w:tr>
      <w:tr w:rsidR="00866CA9" w:rsidRPr="00E3514A" w:rsidTr="00F52BC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  <w:r w:rsidRPr="00E3514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866CA9" w:rsidRPr="00E3514A" w:rsidTr="00F52B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7</w:t>
            </w:r>
          </w:p>
        </w:tc>
      </w:tr>
      <w:tr w:rsidR="00866CA9" w:rsidRPr="00E3514A" w:rsidTr="00F52B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улучшение условий и качества жизни населения; эффективное функционирование рынка жилья; обеспечение социального благополучия в обществе</w:t>
            </w:r>
          </w:p>
        </w:tc>
      </w:tr>
      <w:tr w:rsidR="00866CA9" w:rsidRPr="00E3514A" w:rsidTr="00F52B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разработка проектов и строительство подводящих инженерных сетей к земельным участкам, предусмотренных под жилищное строительство на территории Новотаманского сельского поселения Темрюкского района, обеспечение развития инфраструктуры Новотаманского сельского поселения Темрюкского района, повышения степени доступности  микрорайонов жилой застройки</w:t>
            </w:r>
          </w:p>
        </w:tc>
      </w:tr>
      <w:tr w:rsidR="00866CA9" w:rsidRPr="00E3514A" w:rsidTr="004A273C">
        <w:trPr>
          <w:trHeight w:val="59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CA9" w:rsidRPr="00E3514A" w:rsidRDefault="00866CA9" w:rsidP="004A273C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Строительство вод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 xml:space="preserve">проводной сети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F968B3">
            <w:pPr>
              <w:pStyle w:val="a4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F968B3">
            <w:pPr>
              <w:pStyle w:val="a4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F968B3">
            <w:pPr>
              <w:pStyle w:val="a4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2456,3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Админ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страция Новот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манского сельского поселения</w:t>
            </w:r>
          </w:p>
        </w:tc>
      </w:tr>
      <w:tr w:rsidR="00866CA9" w:rsidRPr="00E3514A" w:rsidTr="006D48F8">
        <w:trPr>
          <w:trHeight w:val="63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866CA9" w:rsidRPr="00E3514A" w:rsidTr="006D48F8">
        <w:trPr>
          <w:trHeight w:val="54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F968B3">
            <w:pPr>
              <w:pStyle w:val="a4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F968B3">
            <w:pPr>
              <w:pStyle w:val="a4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F968B3">
            <w:pPr>
              <w:pStyle w:val="a4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2456,3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866CA9" w:rsidRPr="00E3514A" w:rsidTr="006D48F8">
        <w:trPr>
          <w:trHeight w:val="71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CA9" w:rsidRPr="00E3514A" w:rsidRDefault="00866CA9" w:rsidP="004A273C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Проектирование и строительство эле</w:t>
            </w:r>
            <w:r w:rsidRPr="00E3514A">
              <w:rPr>
                <w:rFonts w:ascii="Times New Roman" w:hAnsi="Times New Roman" w:cs="Times New Roman"/>
              </w:rPr>
              <w:t>к</w:t>
            </w:r>
            <w:r w:rsidRPr="00E3514A">
              <w:rPr>
                <w:rFonts w:ascii="Times New Roman" w:hAnsi="Times New Roman" w:cs="Times New Roman"/>
              </w:rPr>
              <w:t xml:space="preserve">трической сети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866CA9" w:rsidRPr="00E3514A" w:rsidTr="00F52BC7">
        <w:trPr>
          <w:trHeight w:val="69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866CA9" w:rsidRPr="00E3514A" w:rsidTr="00F52BC7">
        <w:trPr>
          <w:trHeight w:val="13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866CA9" w:rsidRPr="00E3514A" w:rsidTr="00F52BC7">
        <w:trPr>
          <w:trHeight w:val="30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CA9" w:rsidRPr="00E3514A" w:rsidRDefault="00866CA9" w:rsidP="00F52BC7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Проектирование и строительство канал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 xml:space="preserve">зационной сети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AB4501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AB4501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Проектир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вание и строител</w:t>
            </w:r>
            <w:r w:rsidRPr="00E3514A">
              <w:rPr>
                <w:rFonts w:ascii="Times New Roman" w:hAnsi="Times New Roman" w:cs="Times New Roman"/>
              </w:rPr>
              <w:t>ь</w:t>
            </w:r>
            <w:r w:rsidRPr="00E3514A">
              <w:rPr>
                <w:rFonts w:ascii="Times New Roman" w:hAnsi="Times New Roman" w:cs="Times New Roman"/>
              </w:rPr>
              <w:t>ство канал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зационной сети в гр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ницах улиц Черномо</w:t>
            </w:r>
            <w:r w:rsidRPr="00E3514A">
              <w:rPr>
                <w:rFonts w:ascii="Times New Roman" w:hAnsi="Times New Roman" w:cs="Times New Roman"/>
              </w:rPr>
              <w:t>р</w:t>
            </w:r>
            <w:r w:rsidRPr="00E3514A">
              <w:rPr>
                <w:rFonts w:ascii="Times New Roman" w:hAnsi="Times New Roman" w:cs="Times New Roman"/>
              </w:rPr>
              <w:t>ской, Мо</w:t>
            </w:r>
            <w:r w:rsidRPr="00E3514A">
              <w:rPr>
                <w:rFonts w:ascii="Times New Roman" w:hAnsi="Times New Roman" w:cs="Times New Roman"/>
              </w:rPr>
              <w:t>р</w:t>
            </w:r>
            <w:r w:rsidRPr="00E3514A">
              <w:rPr>
                <w:rFonts w:ascii="Times New Roman" w:hAnsi="Times New Roman" w:cs="Times New Roman"/>
              </w:rPr>
              <w:t>ской Шо</w:t>
            </w:r>
            <w:r w:rsidRPr="00E3514A">
              <w:rPr>
                <w:rFonts w:ascii="Times New Roman" w:hAnsi="Times New Roman" w:cs="Times New Roman"/>
              </w:rPr>
              <w:t>с</w:t>
            </w:r>
            <w:r w:rsidRPr="00E3514A">
              <w:rPr>
                <w:rFonts w:ascii="Times New Roman" w:hAnsi="Times New Roman" w:cs="Times New Roman"/>
              </w:rPr>
              <w:t>сейной, Централ</w:t>
            </w:r>
            <w:r w:rsidRPr="00E3514A">
              <w:rPr>
                <w:rFonts w:ascii="Times New Roman" w:hAnsi="Times New Roman" w:cs="Times New Roman"/>
              </w:rPr>
              <w:t>ь</w:t>
            </w:r>
            <w:r w:rsidRPr="00E3514A">
              <w:rPr>
                <w:rFonts w:ascii="Times New Roman" w:hAnsi="Times New Roman" w:cs="Times New Roman"/>
              </w:rPr>
              <w:t>ной, Ски</w:t>
            </w:r>
            <w:r w:rsidRPr="00E3514A">
              <w:rPr>
                <w:rFonts w:ascii="Times New Roman" w:hAnsi="Times New Roman" w:cs="Times New Roman"/>
              </w:rPr>
              <w:t>ф</w:t>
            </w:r>
            <w:r w:rsidRPr="00E3514A">
              <w:rPr>
                <w:rFonts w:ascii="Times New Roman" w:hAnsi="Times New Roman" w:cs="Times New Roman"/>
              </w:rPr>
              <w:t>ской, Вин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градной в пос.Веселовка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866CA9" w:rsidRPr="00E3514A" w:rsidTr="00F52BC7">
        <w:trPr>
          <w:trHeight w:val="39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866CA9" w:rsidRPr="00E3514A" w:rsidTr="00F52BC7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AB4501">
            <w:pPr>
              <w:pStyle w:val="a4"/>
              <w:widowControl w:val="0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AB4501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866CA9" w:rsidRPr="00E3514A" w:rsidTr="004867E8">
        <w:trPr>
          <w:trHeight w:val="820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6CA9" w:rsidRPr="00E3514A" w:rsidRDefault="00866CA9" w:rsidP="004A273C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Проектирование и строительство вод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 xml:space="preserve">проводной сети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AB4501">
            <w:pPr>
              <w:pStyle w:val="a4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AB4501">
            <w:pPr>
              <w:pStyle w:val="a4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Проектир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вание и строител</w:t>
            </w:r>
            <w:r w:rsidRPr="00E3514A">
              <w:rPr>
                <w:rFonts w:ascii="Times New Roman" w:hAnsi="Times New Roman" w:cs="Times New Roman"/>
              </w:rPr>
              <w:t>ь</w:t>
            </w:r>
            <w:r w:rsidRPr="00E3514A">
              <w:rPr>
                <w:rFonts w:ascii="Times New Roman" w:hAnsi="Times New Roman" w:cs="Times New Roman"/>
              </w:rPr>
              <w:t>ство вод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проводной сети в гр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ницах улиц Приморский бульвар, Морской, Черномо</w:t>
            </w:r>
            <w:r w:rsidRPr="00E3514A">
              <w:rPr>
                <w:rFonts w:ascii="Times New Roman" w:hAnsi="Times New Roman" w:cs="Times New Roman"/>
              </w:rPr>
              <w:t>р</w:t>
            </w:r>
            <w:r w:rsidRPr="00E3514A">
              <w:rPr>
                <w:rFonts w:ascii="Times New Roman" w:hAnsi="Times New Roman" w:cs="Times New Roman"/>
              </w:rPr>
              <w:t>ской, Вин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градной, Централ</w:t>
            </w:r>
            <w:r w:rsidRPr="00E3514A">
              <w:rPr>
                <w:rFonts w:ascii="Times New Roman" w:hAnsi="Times New Roman" w:cs="Times New Roman"/>
              </w:rPr>
              <w:t>ь</w:t>
            </w:r>
            <w:r w:rsidRPr="00E3514A">
              <w:rPr>
                <w:rFonts w:ascii="Times New Roman" w:hAnsi="Times New Roman" w:cs="Times New Roman"/>
              </w:rPr>
              <w:t>ной в пос. Веселовка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866CA9" w:rsidRPr="00E3514A" w:rsidTr="004867E8">
        <w:trPr>
          <w:trHeight w:val="10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866CA9" w:rsidRPr="00E3514A" w:rsidTr="004867E8">
        <w:trPr>
          <w:trHeight w:val="33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866CA9" w:rsidRPr="00E3514A" w:rsidTr="00F52BC7">
        <w:trPr>
          <w:trHeight w:val="255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5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AB4501">
            <w:pPr>
              <w:pStyle w:val="a4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AB4501">
            <w:pPr>
              <w:pStyle w:val="a4"/>
              <w:widowControl w:val="0"/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CA9" w:rsidRPr="00E3514A" w:rsidRDefault="00866CA9" w:rsidP="00E3514A">
            <w:pPr>
              <w:pStyle w:val="a4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866CA9" w:rsidRPr="00E3514A" w:rsidTr="00F52BC7">
        <w:tblPrEx>
          <w:tblBorders>
            <w:top w:val="single" w:sz="4" w:space="0" w:color="auto"/>
          </w:tblBorders>
        </w:tblPrEx>
        <w:trPr>
          <w:gridAfter w:val="6"/>
          <w:wAfter w:w="6237" w:type="dxa"/>
          <w:trHeight w:val="102"/>
        </w:trPr>
        <w:tc>
          <w:tcPr>
            <w:tcW w:w="3119" w:type="dxa"/>
            <w:gridSpan w:val="2"/>
            <w:tcBorders>
              <w:top w:val="single" w:sz="4" w:space="0" w:color="auto"/>
            </w:tcBorders>
          </w:tcPr>
          <w:p w:rsidR="00866CA9" w:rsidRPr="00E3514A" w:rsidRDefault="00866CA9" w:rsidP="00E3514A">
            <w:pPr>
              <w:pStyle w:val="ConsPlusNormal"/>
              <w:widowControl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6CA9" w:rsidRPr="000A6E2C" w:rsidRDefault="00866CA9" w:rsidP="00E3514A">
      <w:pPr>
        <w:pStyle w:val="ConsPlusNormal"/>
        <w:widowControl w:val="0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66CA9" w:rsidRPr="000A6E2C" w:rsidRDefault="00866CA9" w:rsidP="00E3514A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>Обоснование ресурсного обеспечения муниципальной программы</w:t>
      </w:r>
    </w:p>
    <w:p w:rsidR="00866CA9" w:rsidRPr="000A6E2C" w:rsidRDefault="00866CA9" w:rsidP="00E3514A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66CA9" w:rsidRPr="000A6E2C" w:rsidRDefault="00866CA9" w:rsidP="00577B71">
      <w:pPr>
        <w:widowControl w:val="0"/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/>
          <w:spacing w:val="2"/>
          <w:sz w:val="28"/>
          <w:szCs w:val="28"/>
        </w:rPr>
      </w:pPr>
      <w:bookmarkStart w:id="1" w:name="sub_10041"/>
      <w:r w:rsidRPr="000A6E2C">
        <w:rPr>
          <w:rFonts w:ascii="Times New Roman" w:hAnsi="Times New Roman"/>
          <w:bCs/>
          <w:color w:val="000000"/>
          <w:spacing w:val="2"/>
          <w:sz w:val="28"/>
          <w:szCs w:val="28"/>
        </w:rPr>
        <w:t>Общий объем финансирования</w:t>
      </w:r>
      <w:r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 программных мероприятий на 2017</w:t>
      </w:r>
      <w:r w:rsidRPr="000A6E2C"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 год составляет </w:t>
      </w:r>
      <w:r>
        <w:rPr>
          <w:rFonts w:ascii="Times New Roman" w:hAnsi="Times New Roman"/>
          <w:bCs/>
          <w:color w:val="000000"/>
          <w:spacing w:val="2"/>
          <w:sz w:val="28"/>
          <w:szCs w:val="28"/>
        </w:rPr>
        <w:t>2456,3</w:t>
      </w:r>
      <w:r w:rsidRPr="000A6E2C">
        <w:rPr>
          <w:rFonts w:ascii="Times New Roman" w:hAnsi="Times New Roman"/>
          <w:bCs/>
          <w:color w:val="000000"/>
          <w:spacing w:val="2"/>
          <w:sz w:val="28"/>
          <w:szCs w:val="28"/>
        </w:rPr>
        <w:t xml:space="preserve"> тыс.рублей из средств бюджета Новотаманского сельского поселения Темрюкского района. </w:t>
      </w:r>
    </w:p>
    <w:p w:rsidR="00866CA9" w:rsidRPr="000A6E2C" w:rsidRDefault="00866CA9" w:rsidP="00577B71">
      <w:pPr>
        <w:widowControl w:val="0"/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color w:val="000000"/>
          <w:spacing w:val="6"/>
          <w:sz w:val="28"/>
          <w:szCs w:val="28"/>
        </w:rPr>
        <w:t xml:space="preserve">Потребность в средствах на реализацию программных </w:t>
      </w:r>
      <w:r>
        <w:rPr>
          <w:rFonts w:ascii="Times New Roman" w:hAnsi="Times New Roman"/>
          <w:color w:val="000000"/>
          <w:sz w:val="28"/>
          <w:szCs w:val="28"/>
        </w:rPr>
        <w:t>мероприятий составляет на 2017</w:t>
      </w:r>
      <w:r w:rsidRPr="000A6E2C">
        <w:rPr>
          <w:rFonts w:ascii="Times New Roman" w:hAnsi="Times New Roman"/>
          <w:color w:val="000000"/>
          <w:sz w:val="28"/>
          <w:szCs w:val="28"/>
        </w:rPr>
        <w:t xml:space="preserve"> год – </w:t>
      </w:r>
      <w:r>
        <w:rPr>
          <w:rFonts w:ascii="Times New Roman" w:hAnsi="Times New Roman"/>
          <w:color w:val="000000"/>
          <w:sz w:val="28"/>
          <w:szCs w:val="28"/>
        </w:rPr>
        <w:t>2456,3</w:t>
      </w:r>
      <w:r w:rsidRPr="000A6E2C">
        <w:rPr>
          <w:rFonts w:ascii="Times New Roman" w:hAnsi="Times New Roman"/>
          <w:sz w:val="28"/>
          <w:szCs w:val="28"/>
        </w:rPr>
        <w:t xml:space="preserve"> тыс.рублей</w:t>
      </w:r>
      <w:r>
        <w:rPr>
          <w:rFonts w:ascii="Times New Roman" w:hAnsi="Times New Roman"/>
          <w:sz w:val="28"/>
          <w:szCs w:val="28"/>
        </w:rPr>
        <w:t>. Источник</w:t>
      </w:r>
      <w:r w:rsidRPr="000A6E2C">
        <w:rPr>
          <w:rFonts w:ascii="Times New Roman" w:hAnsi="Times New Roman"/>
          <w:sz w:val="28"/>
          <w:szCs w:val="28"/>
        </w:rPr>
        <w:t xml:space="preserve"> финансирования: - местный бюджет </w:t>
      </w:r>
      <w:r>
        <w:rPr>
          <w:rFonts w:ascii="Times New Roman" w:hAnsi="Times New Roman"/>
          <w:sz w:val="28"/>
          <w:szCs w:val="28"/>
        </w:rPr>
        <w:t>2456,3</w:t>
      </w:r>
      <w:r w:rsidRPr="000A6E2C">
        <w:rPr>
          <w:rFonts w:ascii="Times New Roman" w:hAnsi="Times New Roman"/>
          <w:sz w:val="28"/>
          <w:szCs w:val="28"/>
        </w:rPr>
        <w:t xml:space="preserve"> тыс.рублей</w:t>
      </w:r>
      <w:r>
        <w:rPr>
          <w:rFonts w:ascii="Times New Roman" w:hAnsi="Times New Roman"/>
          <w:sz w:val="28"/>
          <w:szCs w:val="28"/>
        </w:rPr>
        <w:t>.</w:t>
      </w:r>
    </w:p>
    <w:p w:rsidR="00866CA9" w:rsidRPr="000A6E2C" w:rsidRDefault="00866CA9" w:rsidP="00577B71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>Планируется привлечение краевых средств в рамках реализации подпрограммы «Обеспечение жильем молодых семей» федеральной целевой прог</w:t>
      </w:r>
      <w:r>
        <w:rPr>
          <w:rFonts w:ascii="Times New Roman" w:hAnsi="Times New Roman"/>
          <w:sz w:val="28"/>
          <w:szCs w:val="28"/>
        </w:rPr>
        <w:t>раммы «Жилище»</w:t>
      </w:r>
      <w:r w:rsidRPr="000A6E2C">
        <w:rPr>
          <w:rFonts w:ascii="Times New Roman" w:hAnsi="Times New Roman"/>
          <w:sz w:val="28"/>
          <w:szCs w:val="28"/>
        </w:rPr>
        <w:t xml:space="preserve">.  </w:t>
      </w:r>
      <w:bookmarkEnd w:id="1"/>
    </w:p>
    <w:p w:rsidR="00866CA9" w:rsidRPr="000A6E2C" w:rsidRDefault="00866CA9" w:rsidP="00577B71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6E2C">
        <w:rPr>
          <w:rFonts w:ascii="Times New Roman" w:hAnsi="Times New Roman"/>
          <w:sz w:val="28"/>
          <w:szCs w:val="28"/>
        </w:rPr>
        <w:t>муниципальной программы</w:t>
      </w:r>
    </w:p>
    <w:p w:rsidR="00866CA9" w:rsidRPr="000A6E2C" w:rsidRDefault="00866CA9" w:rsidP="00E3514A">
      <w:pPr>
        <w:widowControl w:val="0"/>
        <w:suppressAutoHyphens/>
        <w:spacing w:after="0" w:line="240" w:lineRule="auto"/>
        <w:ind w:firstLine="85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66CA9" w:rsidRPr="000A6E2C" w:rsidRDefault="00866CA9" w:rsidP="00577B71">
      <w:pPr>
        <w:pStyle w:val="BodyText"/>
        <w:widowControl w:val="0"/>
        <w:suppressAutoHyphens/>
        <w:spacing w:after="0"/>
        <w:ind w:firstLine="709"/>
        <w:contextualSpacing/>
        <w:rPr>
          <w:sz w:val="28"/>
          <w:szCs w:val="28"/>
        </w:rPr>
      </w:pPr>
      <w:r w:rsidRPr="000A6E2C">
        <w:rPr>
          <w:sz w:val="28"/>
          <w:szCs w:val="28"/>
        </w:rPr>
        <w:t>Эффективность реализации Программы определяется степенью достижения показателей Программы.</w:t>
      </w:r>
    </w:p>
    <w:p w:rsidR="00866CA9" w:rsidRPr="000A6E2C" w:rsidRDefault="00866CA9" w:rsidP="00577B71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>Проектирование инженерных сетей позволит  в дальнейшем провести строительно-монтажные работы по строительству инженерной инфраструктуры, позволяющей обеспечить электро-,  газо-, водоснабжение и водоотведение застраиваемых земельных участков.</w:t>
      </w:r>
    </w:p>
    <w:p w:rsidR="00866CA9" w:rsidRPr="000A6E2C" w:rsidRDefault="00866CA9" w:rsidP="00577B71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>Критериями выполнения программы являются освоение площади земельного участка под застройку, освоение финансирование проектных и строительных работ, увеличение доли многодетных семей обеспечиваемых земельными участками под строительство жилья.</w:t>
      </w:r>
    </w:p>
    <w:p w:rsidR="00866CA9" w:rsidRPr="000A6E2C" w:rsidRDefault="00866CA9" w:rsidP="00577B71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 проводится в соответствии с типовой методикой  с приложением № 5 постановления администрации Новотаманского сельского поселения Темрюкского района от 27 августа 2014 года № 285 «Об утверждении порядка разработки, формирования, реализации и оценки эффективности реализации муниципальных программ».</w:t>
      </w:r>
    </w:p>
    <w:p w:rsidR="00866CA9" w:rsidRPr="000A6E2C" w:rsidRDefault="00866CA9" w:rsidP="00E3514A">
      <w:pPr>
        <w:pStyle w:val="ConsPlusNormal"/>
        <w:widowControl w:val="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6CA9" w:rsidRPr="000A6E2C" w:rsidRDefault="00866CA9" w:rsidP="00577B71">
      <w:pPr>
        <w:pStyle w:val="ConsPlusNormal"/>
        <w:widowControl w:val="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Механизм реализации муниципальной программы</w:t>
      </w:r>
    </w:p>
    <w:p w:rsidR="00866CA9" w:rsidRPr="000A6E2C" w:rsidRDefault="00866CA9" w:rsidP="00E3514A">
      <w:pPr>
        <w:pStyle w:val="ConsPlusNormal"/>
        <w:widowControl w:val="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66CA9" w:rsidRPr="000A6E2C" w:rsidRDefault="00866CA9" w:rsidP="00577B7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6E2C">
        <w:rPr>
          <w:rFonts w:ascii="Times New Roman" w:hAnsi="Times New Roman" w:cs="Times New Roman"/>
          <w:color w:val="000000"/>
          <w:sz w:val="28"/>
          <w:szCs w:val="28"/>
        </w:rPr>
        <w:t>Заказчиком Программы является администрация Новотаманского сельского поселения Темрюкского района.</w:t>
      </w:r>
    </w:p>
    <w:p w:rsidR="00866CA9" w:rsidRPr="000A6E2C" w:rsidRDefault="00866CA9" w:rsidP="00577B71">
      <w:pPr>
        <w:widowControl w:val="0"/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1"/>
          <w:sz w:val="28"/>
          <w:szCs w:val="28"/>
        </w:rPr>
      </w:pPr>
      <w:r w:rsidRPr="000A6E2C">
        <w:rPr>
          <w:rFonts w:ascii="Times New Roman" w:hAnsi="Times New Roman"/>
          <w:spacing w:val="2"/>
          <w:sz w:val="28"/>
          <w:szCs w:val="28"/>
        </w:rPr>
        <w:t xml:space="preserve">Контроль за ходом реализации программы осуществляет </w:t>
      </w:r>
      <w:r w:rsidRPr="000A6E2C">
        <w:rPr>
          <w:rFonts w:ascii="Times New Roman" w:hAnsi="Times New Roman"/>
          <w:spacing w:val="1"/>
          <w:sz w:val="28"/>
          <w:szCs w:val="28"/>
        </w:rPr>
        <w:t xml:space="preserve">администрация Новотаманского сельского поселения Темрюкского района и Совет Новотаманского сельского поселения Темрюкского района. </w:t>
      </w:r>
    </w:p>
    <w:p w:rsidR="00866CA9" w:rsidRPr="000A6E2C" w:rsidRDefault="00866CA9" w:rsidP="00577B71">
      <w:pPr>
        <w:widowControl w:val="0"/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1"/>
          <w:sz w:val="28"/>
          <w:szCs w:val="28"/>
        </w:rPr>
      </w:pPr>
      <w:r w:rsidRPr="000A6E2C">
        <w:rPr>
          <w:rFonts w:ascii="Times New Roman" w:hAnsi="Times New Roman"/>
          <w:spacing w:val="1"/>
          <w:sz w:val="28"/>
          <w:szCs w:val="28"/>
        </w:rPr>
        <w:t xml:space="preserve">Администрация Новотаманского сельского поселения осуществляет </w:t>
      </w:r>
      <w:r w:rsidRPr="000A6E2C">
        <w:rPr>
          <w:rFonts w:ascii="Times New Roman" w:hAnsi="Times New Roman" w:cs="Times New Roman"/>
          <w:color w:val="000000"/>
          <w:sz w:val="28"/>
          <w:szCs w:val="28"/>
        </w:rPr>
        <w:t>финансирование мероприятий Программы из местного бюджета в объемах, предусмотренных Программой, в том числе разработку и утверждение в установленном порядке проектно-сметной документации.</w:t>
      </w:r>
    </w:p>
    <w:p w:rsidR="00866CA9" w:rsidRPr="000A6E2C" w:rsidRDefault="00866CA9" w:rsidP="00E3514A">
      <w:pPr>
        <w:pStyle w:val="ConsNormal"/>
        <w:ind w:right="0" w:firstLine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866CA9" w:rsidRPr="000A6E2C" w:rsidRDefault="00866CA9" w:rsidP="00E3514A">
      <w:pPr>
        <w:pStyle w:val="ConsNormal"/>
        <w:ind w:right="0" w:firstLine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866CA9" w:rsidRPr="00C25243" w:rsidRDefault="00866CA9" w:rsidP="00206B4F">
      <w:pPr>
        <w:pStyle w:val="ConsNormal"/>
        <w:ind w:right="0" w:firstLine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                                                                 Е.Н. Даева</w:t>
      </w:r>
    </w:p>
    <w:sectPr w:rsidR="00866CA9" w:rsidRPr="00C25243" w:rsidSect="00E3514A">
      <w:headerReference w:type="default" r:id="rId7"/>
      <w:pgSz w:w="11906" w:h="16838"/>
      <w:pgMar w:top="1134" w:right="567" w:bottom="1134" w:left="1701" w:header="993" w:footer="1135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6CA9" w:rsidRDefault="00866CA9">
      <w:pPr>
        <w:spacing w:after="0" w:line="240" w:lineRule="auto"/>
      </w:pPr>
      <w:r>
        <w:separator/>
      </w:r>
    </w:p>
  </w:endnote>
  <w:endnote w:type="continuationSeparator" w:id="0">
    <w:p w:rsidR="00866CA9" w:rsidRDefault="00866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6CA9" w:rsidRDefault="00866CA9">
      <w:pPr>
        <w:spacing w:after="0" w:line="240" w:lineRule="auto"/>
      </w:pPr>
      <w:r>
        <w:separator/>
      </w:r>
    </w:p>
  </w:footnote>
  <w:footnote w:type="continuationSeparator" w:id="0">
    <w:p w:rsidR="00866CA9" w:rsidRDefault="00866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CA9" w:rsidRPr="00577B71" w:rsidRDefault="00866CA9" w:rsidP="00E3514A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577B71">
      <w:rPr>
        <w:rFonts w:ascii="Times New Roman" w:hAnsi="Times New Roman" w:cs="Times New Roman"/>
        <w:sz w:val="28"/>
        <w:szCs w:val="28"/>
      </w:rPr>
      <w:fldChar w:fldCharType="begin"/>
    </w:r>
    <w:r w:rsidRPr="00577B71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577B71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2</w:t>
    </w:r>
    <w:r w:rsidRPr="00577B71"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7F2B618B"/>
    <w:multiLevelType w:val="hybridMultilevel"/>
    <w:tmpl w:val="EE5CF7C2"/>
    <w:lvl w:ilvl="0" w:tplc="4DCC04A8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autoHyphenation/>
  <w:drawingGridHorizontalSpacing w:val="11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6EA2"/>
    <w:rsid w:val="000513C3"/>
    <w:rsid w:val="000611FA"/>
    <w:rsid w:val="00072AD7"/>
    <w:rsid w:val="000A6E2C"/>
    <w:rsid w:val="000B4C17"/>
    <w:rsid w:val="000E3E65"/>
    <w:rsid w:val="000F684D"/>
    <w:rsid w:val="00101A2E"/>
    <w:rsid w:val="0010598E"/>
    <w:rsid w:val="001127B7"/>
    <w:rsid w:val="00126D32"/>
    <w:rsid w:val="00126D35"/>
    <w:rsid w:val="001271C4"/>
    <w:rsid w:val="00153BDF"/>
    <w:rsid w:val="00155D99"/>
    <w:rsid w:val="00157BA9"/>
    <w:rsid w:val="00166285"/>
    <w:rsid w:val="001D7384"/>
    <w:rsid w:val="001E21DD"/>
    <w:rsid w:val="00206B4F"/>
    <w:rsid w:val="002142AC"/>
    <w:rsid w:val="00223474"/>
    <w:rsid w:val="00275EF8"/>
    <w:rsid w:val="0028783A"/>
    <w:rsid w:val="002B7866"/>
    <w:rsid w:val="002C1EBC"/>
    <w:rsid w:val="002C2215"/>
    <w:rsid w:val="002D7625"/>
    <w:rsid w:val="002F2893"/>
    <w:rsid w:val="00316CA4"/>
    <w:rsid w:val="003555E2"/>
    <w:rsid w:val="003814B3"/>
    <w:rsid w:val="003A0CE9"/>
    <w:rsid w:val="003B2524"/>
    <w:rsid w:val="003C203A"/>
    <w:rsid w:val="003E2FFA"/>
    <w:rsid w:val="003E3D14"/>
    <w:rsid w:val="003E5DCB"/>
    <w:rsid w:val="003F0D3C"/>
    <w:rsid w:val="00403A3B"/>
    <w:rsid w:val="00404D2C"/>
    <w:rsid w:val="00446A15"/>
    <w:rsid w:val="00464E9F"/>
    <w:rsid w:val="004703FF"/>
    <w:rsid w:val="004867E8"/>
    <w:rsid w:val="004A273C"/>
    <w:rsid w:val="004B092F"/>
    <w:rsid w:val="004C6E21"/>
    <w:rsid w:val="004D03D1"/>
    <w:rsid w:val="005331D9"/>
    <w:rsid w:val="00550F81"/>
    <w:rsid w:val="00553023"/>
    <w:rsid w:val="00553FAF"/>
    <w:rsid w:val="0057168A"/>
    <w:rsid w:val="00572C6E"/>
    <w:rsid w:val="00577B71"/>
    <w:rsid w:val="005832A4"/>
    <w:rsid w:val="005A12D0"/>
    <w:rsid w:val="005C5656"/>
    <w:rsid w:val="00626EA2"/>
    <w:rsid w:val="006358BC"/>
    <w:rsid w:val="00640C38"/>
    <w:rsid w:val="0064444D"/>
    <w:rsid w:val="0064729C"/>
    <w:rsid w:val="0066384A"/>
    <w:rsid w:val="006A7BB5"/>
    <w:rsid w:val="006B033E"/>
    <w:rsid w:val="006C1EDA"/>
    <w:rsid w:val="006D48F8"/>
    <w:rsid w:val="006F6FE8"/>
    <w:rsid w:val="006F71C5"/>
    <w:rsid w:val="00703187"/>
    <w:rsid w:val="00716876"/>
    <w:rsid w:val="0077022A"/>
    <w:rsid w:val="00784CBC"/>
    <w:rsid w:val="007A0C3A"/>
    <w:rsid w:val="007B5324"/>
    <w:rsid w:val="007D3358"/>
    <w:rsid w:val="007D3B1C"/>
    <w:rsid w:val="00827552"/>
    <w:rsid w:val="00866CA9"/>
    <w:rsid w:val="00886D10"/>
    <w:rsid w:val="008919CA"/>
    <w:rsid w:val="008B328A"/>
    <w:rsid w:val="008D00EA"/>
    <w:rsid w:val="008E2917"/>
    <w:rsid w:val="008E2EEB"/>
    <w:rsid w:val="00907C1C"/>
    <w:rsid w:val="00911509"/>
    <w:rsid w:val="00927CC8"/>
    <w:rsid w:val="0094647D"/>
    <w:rsid w:val="009941CD"/>
    <w:rsid w:val="009B6957"/>
    <w:rsid w:val="009C1FF4"/>
    <w:rsid w:val="009E2599"/>
    <w:rsid w:val="009E5727"/>
    <w:rsid w:val="009E74D2"/>
    <w:rsid w:val="00A04AD1"/>
    <w:rsid w:val="00A30713"/>
    <w:rsid w:val="00A3093A"/>
    <w:rsid w:val="00A56893"/>
    <w:rsid w:val="00A82E42"/>
    <w:rsid w:val="00AB135D"/>
    <w:rsid w:val="00AB2E9D"/>
    <w:rsid w:val="00AB4501"/>
    <w:rsid w:val="00AB6703"/>
    <w:rsid w:val="00AE05B3"/>
    <w:rsid w:val="00B05CD1"/>
    <w:rsid w:val="00B17718"/>
    <w:rsid w:val="00B22AE9"/>
    <w:rsid w:val="00B34BA8"/>
    <w:rsid w:val="00B4239E"/>
    <w:rsid w:val="00B455EF"/>
    <w:rsid w:val="00B55D74"/>
    <w:rsid w:val="00B75395"/>
    <w:rsid w:val="00B75B8E"/>
    <w:rsid w:val="00B90B73"/>
    <w:rsid w:val="00B9182A"/>
    <w:rsid w:val="00BB3FB6"/>
    <w:rsid w:val="00C25243"/>
    <w:rsid w:val="00C414DD"/>
    <w:rsid w:val="00C44FFD"/>
    <w:rsid w:val="00C570EF"/>
    <w:rsid w:val="00C65618"/>
    <w:rsid w:val="00C86AB9"/>
    <w:rsid w:val="00CA4045"/>
    <w:rsid w:val="00CA570F"/>
    <w:rsid w:val="00CB7297"/>
    <w:rsid w:val="00CC1AA3"/>
    <w:rsid w:val="00CD3B63"/>
    <w:rsid w:val="00CD4FA1"/>
    <w:rsid w:val="00CD7B67"/>
    <w:rsid w:val="00D059BA"/>
    <w:rsid w:val="00D170D0"/>
    <w:rsid w:val="00D22895"/>
    <w:rsid w:val="00D23513"/>
    <w:rsid w:val="00D3550E"/>
    <w:rsid w:val="00D36C8F"/>
    <w:rsid w:val="00D4246F"/>
    <w:rsid w:val="00D4757B"/>
    <w:rsid w:val="00D911E4"/>
    <w:rsid w:val="00DD7E0A"/>
    <w:rsid w:val="00DE33EA"/>
    <w:rsid w:val="00DE4CD4"/>
    <w:rsid w:val="00E0171F"/>
    <w:rsid w:val="00E04DCD"/>
    <w:rsid w:val="00E050AE"/>
    <w:rsid w:val="00E350CB"/>
    <w:rsid w:val="00E3514A"/>
    <w:rsid w:val="00E64F72"/>
    <w:rsid w:val="00E85AA3"/>
    <w:rsid w:val="00E86DA4"/>
    <w:rsid w:val="00E949C3"/>
    <w:rsid w:val="00EA7576"/>
    <w:rsid w:val="00EB0583"/>
    <w:rsid w:val="00EC58DB"/>
    <w:rsid w:val="00ED26D2"/>
    <w:rsid w:val="00EF224F"/>
    <w:rsid w:val="00EF4D8B"/>
    <w:rsid w:val="00EF4E33"/>
    <w:rsid w:val="00EF64B0"/>
    <w:rsid w:val="00EF68C7"/>
    <w:rsid w:val="00F00D61"/>
    <w:rsid w:val="00F01F9A"/>
    <w:rsid w:val="00F159E6"/>
    <w:rsid w:val="00F26895"/>
    <w:rsid w:val="00F45887"/>
    <w:rsid w:val="00F52BC7"/>
    <w:rsid w:val="00F73393"/>
    <w:rsid w:val="00F83411"/>
    <w:rsid w:val="00F968B3"/>
    <w:rsid w:val="00FB5A7C"/>
    <w:rsid w:val="00FC3139"/>
    <w:rsid w:val="00FD69AB"/>
    <w:rsid w:val="00FE3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5E2"/>
    <w:pPr>
      <w:spacing w:after="200" w:line="276" w:lineRule="auto"/>
    </w:pPr>
    <w:rPr>
      <w:rFonts w:ascii="Calibri" w:hAnsi="Calibri" w:cs="Calibri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555E2"/>
    <w:pPr>
      <w:tabs>
        <w:tab w:val="num" w:pos="432"/>
      </w:tabs>
      <w:autoSpaceDE w:val="0"/>
      <w:spacing w:before="108" w:after="108" w:line="240" w:lineRule="auto"/>
      <w:ind w:left="432" w:hanging="432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D26D2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1">
    <w:name w:val="Основной шрифт абзаца1"/>
    <w:uiPriority w:val="99"/>
    <w:rsid w:val="003555E2"/>
  </w:style>
  <w:style w:type="character" w:customStyle="1" w:styleId="10">
    <w:name w:val="Заголовок 1 Знак"/>
    <w:basedOn w:val="1"/>
    <w:uiPriority w:val="99"/>
    <w:rsid w:val="003555E2"/>
    <w:rPr>
      <w:rFonts w:ascii="Arial" w:hAnsi="Arial" w:cs="Arial"/>
      <w:b/>
      <w:bCs/>
      <w:color w:val="000080"/>
      <w:sz w:val="24"/>
      <w:szCs w:val="24"/>
    </w:rPr>
  </w:style>
  <w:style w:type="character" w:customStyle="1" w:styleId="a">
    <w:name w:val="Цветовое выделение"/>
    <w:uiPriority w:val="99"/>
    <w:rsid w:val="003555E2"/>
    <w:rPr>
      <w:b/>
      <w:color w:val="000080"/>
    </w:rPr>
  </w:style>
  <w:style w:type="character" w:customStyle="1" w:styleId="a0">
    <w:name w:val="Гипертекстовая ссылка"/>
    <w:basedOn w:val="a"/>
    <w:uiPriority w:val="99"/>
    <w:rsid w:val="003555E2"/>
    <w:rPr>
      <w:rFonts w:cs="Times New Roman"/>
      <w:bCs/>
      <w:color w:val="008000"/>
    </w:rPr>
  </w:style>
  <w:style w:type="character" w:styleId="PageNumber">
    <w:name w:val="page number"/>
    <w:basedOn w:val="1"/>
    <w:uiPriority w:val="99"/>
    <w:rsid w:val="003555E2"/>
    <w:rPr>
      <w:rFonts w:cs="Times New Roman"/>
    </w:rPr>
  </w:style>
  <w:style w:type="character" w:customStyle="1" w:styleId="a1">
    <w:name w:val="Текст выноски Знак"/>
    <w:basedOn w:val="1"/>
    <w:uiPriority w:val="99"/>
    <w:rsid w:val="003555E2"/>
    <w:rPr>
      <w:rFonts w:ascii="Tahoma" w:hAnsi="Tahoma" w:cs="Tahoma"/>
      <w:sz w:val="16"/>
      <w:szCs w:val="16"/>
    </w:rPr>
  </w:style>
  <w:style w:type="character" w:customStyle="1" w:styleId="a2">
    <w:name w:val="Основной текст Знак"/>
    <w:basedOn w:val="1"/>
    <w:uiPriority w:val="99"/>
    <w:rsid w:val="003555E2"/>
    <w:rPr>
      <w:rFonts w:ascii="Times New Roman" w:hAnsi="Times New Roman" w:cs="Times New Roman"/>
      <w:sz w:val="24"/>
      <w:szCs w:val="24"/>
    </w:rPr>
  </w:style>
  <w:style w:type="paragraph" w:customStyle="1" w:styleId="a3">
    <w:name w:val="Заголовок"/>
    <w:basedOn w:val="Normal"/>
    <w:next w:val="BodyText"/>
    <w:uiPriority w:val="99"/>
    <w:rsid w:val="003555E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3555E2"/>
    <w:pPr>
      <w:spacing w:after="120" w:line="240" w:lineRule="auto"/>
      <w:ind w:firstLine="431"/>
      <w:jc w:val="both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D26D2"/>
    <w:rPr>
      <w:rFonts w:ascii="Calibri" w:hAnsi="Calibri" w:cs="Calibri"/>
      <w:lang w:eastAsia="ar-SA" w:bidi="ar-SA"/>
    </w:rPr>
  </w:style>
  <w:style w:type="paragraph" w:styleId="List">
    <w:name w:val="List"/>
    <w:basedOn w:val="BodyText"/>
    <w:uiPriority w:val="99"/>
    <w:rsid w:val="003555E2"/>
    <w:rPr>
      <w:rFonts w:ascii="Arial" w:hAnsi="Arial" w:cs="Mangal"/>
    </w:rPr>
  </w:style>
  <w:style w:type="paragraph" w:customStyle="1" w:styleId="11">
    <w:name w:val="Название1"/>
    <w:basedOn w:val="Normal"/>
    <w:uiPriority w:val="99"/>
    <w:rsid w:val="003555E2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2">
    <w:name w:val="Указатель1"/>
    <w:basedOn w:val="Normal"/>
    <w:uiPriority w:val="99"/>
    <w:rsid w:val="003555E2"/>
    <w:pPr>
      <w:suppressLineNumbers/>
    </w:pPr>
    <w:rPr>
      <w:rFonts w:ascii="Arial" w:hAnsi="Arial" w:cs="Mangal"/>
    </w:rPr>
  </w:style>
  <w:style w:type="paragraph" w:customStyle="1" w:styleId="a4">
    <w:name w:val="Нормальный (таблица)"/>
    <w:basedOn w:val="Normal"/>
    <w:next w:val="Normal"/>
    <w:uiPriority w:val="99"/>
    <w:rsid w:val="003555E2"/>
    <w:pPr>
      <w:autoSpaceDE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Normal"/>
    <w:next w:val="Normal"/>
    <w:uiPriority w:val="99"/>
    <w:rsid w:val="003555E2"/>
    <w:pPr>
      <w:autoSpaceDE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6">
    <w:name w:val="Комментарий"/>
    <w:basedOn w:val="Normal"/>
    <w:next w:val="Normal"/>
    <w:uiPriority w:val="99"/>
    <w:rsid w:val="003555E2"/>
    <w:pPr>
      <w:autoSpaceDE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4"/>
      <w:szCs w:val="24"/>
    </w:rPr>
  </w:style>
  <w:style w:type="paragraph" w:customStyle="1" w:styleId="ConsPlusNonformat">
    <w:name w:val="ConsPlusNonformat"/>
    <w:uiPriority w:val="99"/>
    <w:rsid w:val="003555E2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3555E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B6703"/>
    <w:rPr>
      <w:rFonts w:ascii="Calibri" w:hAnsi="Calibri" w:cs="Calibri"/>
      <w:sz w:val="22"/>
      <w:szCs w:val="22"/>
      <w:lang w:eastAsia="ar-SA" w:bidi="ar-SA"/>
    </w:rPr>
  </w:style>
  <w:style w:type="paragraph" w:styleId="Footer">
    <w:name w:val="footer"/>
    <w:basedOn w:val="Normal"/>
    <w:link w:val="FooterChar"/>
    <w:uiPriority w:val="99"/>
    <w:rsid w:val="003555E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D26D2"/>
    <w:rPr>
      <w:rFonts w:ascii="Calibri" w:hAnsi="Calibri" w:cs="Calibri"/>
      <w:lang w:eastAsia="ar-SA" w:bidi="ar-SA"/>
    </w:rPr>
  </w:style>
  <w:style w:type="paragraph" w:styleId="BalloonText">
    <w:name w:val="Balloon Text"/>
    <w:basedOn w:val="Normal"/>
    <w:link w:val="BalloonTextChar"/>
    <w:uiPriority w:val="99"/>
    <w:rsid w:val="00355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D26D2"/>
    <w:rPr>
      <w:rFonts w:cs="Calibri"/>
      <w:sz w:val="2"/>
      <w:lang w:eastAsia="ar-SA" w:bidi="ar-SA"/>
    </w:rPr>
  </w:style>
  <w:style w:type="paragraph" w:customStyle="1" w:styleId="ConsPlusNormal">
    <w:name w:val="ConsPlusNormal"/>
    <w:uiPriority w:val="99"/>
    <w:rsid w:val="003555E2"/>
    <w:pPr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Nonformat">
    <w:name w:val="ConsNonformat"/>
    <w:uiPriority w:val="99"/>
    <w:rsid w:val="003555E2"/>
    <w:pPr>
      <w:widowControl w:val="0"/>
      <w:suppressAutoHyphens/>
      <w:autoSpaceDE w:val="0"/>
      <w:ind w:right="19772"/>
    </w:pPr>
    <w:rPr>
      <w:rFonts w:ascii="Courier New" w:hAnsi="Courier New" w:cs="Calibri"/>
      <w:sz w:val="20"/>
      <w:szCs w:val="20"/>
      <w:lang w:eastAsia="ar-SA"/>
    </w:rPr>
  </w:style>
  <w:style w:type="paragraph" w:customStyle="1" w:styleId="ConsNormal">
    <w:name w:val="ConsNormal"/>
    <w:uiPriority w:val="99"/>
    <w:rsid w:val="003555E2"/>
    <w:pPr>
      <w:widowControl w:val="0"/>
      <w:suppressAutoHyphens/>
      <w:autoSpaceDE w:val="0"/>
      <w:ind w:right="19772" w:firstLine="720"/>
    </w:pPr>
    <w:rPr>
      <w:rFonts w:ascii="Arial" w:hAnsi="Arial" w:cs="Calibri"/>
      <w:sz w:val="20"/>
      <w:szCs w:val="20"/>
      <w:lang w:eastAsia="ar-SA"/>
    </w:rPr>
  </w:style>
  <w:style w:type="paragraph" w:customStyle="1" w:styleId="a7">
    <w:name w:val="Содержимое таблицы"/>
    <w:basedOn w:val="Normal"/>
    <w:uiPriority w:val="99"/>
    <w:rsid w:val="003555E2"/>
    <w:pPr>
      <w:suppressLineNumbers/>
    </w:pPr>
  </w:style>
  <w:style w:type="paragraph" w:customStyle="1" w:styleId="a8">
    <w:name w:val="Заголовок таблицы"/>
    <w:basedOn w:val="a7"/>
    <w:uiPriority w:val="99"/>
    <w:rsid w:val="003555E2"/>
    <w:pPr>
      <w:jc w:val="center"/>
    </w:pPr>
    <w:rPr>
      <w:b/>
      <w:bCs/>
    </w:rPr>
  </w:style>
  <w:style w:type="paragraph" w:customStyle="1" w:styleId="a9">
    <w:name w:val="Содержимое врезки"/>
    <w:basedOn w:val="BodyText"/>
    <w:uiPriority w:val="99"/>
    <w:rsid w:val="003555E2"/>
  </w:style>
  <w:style w:type="paragraph" w:styleId="ListParagraph">
    <w:name w:val="List Paragraph"/>
    <w:basedOn w:val="Normal"/>
    <w:uiPriority w:val="99"/>
    <w:qFormat/>
    <w:rsid w:val="00B05CD1"/>
    <w:pPr>
      <w:ind w:left="720"/>
      <w:contextualSpacing/>
    </w:pPr>
  </w:style>
  <w:style w:type="paragraph" w:customStyle="1" w:styleId="ConsPlusTitle">
    <w:name w:val="ConsPlusTitle"/>
    <w:uiPriority w:val="99"/>
    <w:rsid w:val="002B786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581</TotalTime>
  <Pages>6</Pages>
  <Words>1489</Words>
  <Characters>8489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XTreme</cp:lastModifiedBy>
  <cp:revision>58</cp:revision>
  <cp:lastPrinted>2017-04-12T04:26:00Z</cp:lastPrinted>
  <dcterms:created xsi:type="dcterms:W3CDTF">2014-07-04T04:32:00Z</dcterms:created>
  <dcterms:modified xsi:type="dcterms:W3CDTF">2017-04-14T10:46:00Z</dcterms:modified>
</cp:coreProperties>
</file>