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094DC2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B3B36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1B3B36">
        <w:rPr>
          <w:sz w:val="28"/>
          <w:szCs w:val="28"/>
        </w:rPr>
        <w:t>я</w:t>
      </w:r>
      <w:r>
        <w:rPr>
          <w:sz w:val="28"/>
          <w:szCs w:val="28"/>
        </w:rPr>
        <w:t xml:space="preserve"> сессии Совета </w:t>
      </w:r>
      <w:r w:rsidR="006003E9">
        <w:rPr>
          <w:sz w:val="28"/>
          <w:szCs w:val="28"/>
        </w:rPr>
        <w:t>Новотаманского сельского поселения Темрюкского района</w:t>
      </w:r>
    </w:p>
    <w:p w:rsidR="00077187" w:rsidRDefault="00094DC2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</w:rPr>
        <w:t xml:space="preserve">Об </w:t>
      </w:r>
      <w:r>
        <w:rPr>
          <w:sz w:val="28"/>
          <w:szCs w:val="28"/>
        </w:rPr>
        <w:t>индикативно</w:t>
      </w:r>
      <w:r w:rsidR="001B3B36">
        <w:rPr>
          <w:sz w:val="28"/>
          <w:szCs w:val="28"/>
        </w:rPr>
        <w:t>м</w:t>
      </w:r>
      <w:r>
        <w:rPr>
          <w:sz w:val="28"/>
          <w:szCs w:val="28"/>
        </w:rPr>
        <w:t xml:space="preserve"> план</w:t>
      </w:r>
      <w:r w:rsidR="001B3B36">
        <w:rPr>
          <w:sz w:val="28"/>
          <w:szCs w:val="28"/>
        </w:rPr>
        <w:t>е</w:t>
      </w:r>
      <w:r>
        <w:rPr>
          <w:sz w:val="28"/>
          <w:szCs w:val="28"/>
        </w:rPr>
        <w:t xml:space="preserve"> социально-</w:t>
      </w:r>
      <w:r w:rsidR="00CC27CE">
        <w:rPr>
          <w:sz w:val="28"/>
          <w:szCs w:val="28"/>
        </w:rPr>
        <w:t>э</w:t>
      </w:r>
      <w:r>
        <w:rPr>
          <w:sz w:val="28"/>
          <w:szCs w:val="28"/>
        </w:rPr>
        <w:t>кономического развития</w:t>
      </w:r>
      <w:r w:rsidR="00CC27CE">
        <w:rPr>
          <w:sz w:val="28"/>
          <w:szCs w:val="28"/>
        </w:rPr>
        <w:t xml:space="preserve"> </w:t>
      </w:r>
      <w:r w:rsidR="006003E9">
        <w:rPr>
          <w:sz w:val="28"/>
          <w:szCs w:val="28"/>
        </w:rPr>
        <w:t>Новот</w:t>
      </w:r>
      <w:r w:rsidR="006003E9">
        <w:rPr>
          <w:sz w:val="28"/>
          <w:szCs w:val="28"/>
        </w:rPr>
        <w:t>а</w:t>
      </w:r>
      <w:r w:rsidR="006003E9">
        <w:rPr>
          <w:sz w:val="28"/>
          <w:szCs w:val="28"/>
        </w:rPr>
        <w:t>манского сельского поселения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20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плановый период 202</w:t>
      </w:r>
      <w:r w:rsidR="00711E0F">
        <w:rPr>
          <w:sz w:val="28"/>
          <w:szCs w:val="28"/>
        </w:rPr>
        <w:t>1</w:t>
      </w:r>
      <w:r w:rsidR="0092764C">
        <w:rPr>
          <w:sz w:val="28"/>
          <w:szCs w:val="28"/>
        </w:rPr>
        <w:t>-202</w:t>
      </w:r>
      <w:r w:rsidR="00711E0F">
        <w:rPr>
          <w:sz w:val="28"/>
          <w:szCs w:val="28"/>
        </w:rPr>
        <w:t>2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F489C" w:rsidRDefault="005F489C" w:rsidP="005F489C">
      <w:pPr>
        <w:ind w:firstLine="709"/>
        <w:jc w:val="center"/>
        <w:rPr>
          <w:sz w:val="28"/>
          <w:szCs w:val="28"/>
        </w:rPr>
      </w:pPr>
    </w:p>
    <w:p w:rsidR="005E2EAA" w:rsidRDefault="005E2EAA" w:rsidP="008E59E8">
      <w:pPr>
        <w:rPr>
          <w:sz w:val="28"/>
          <w:szCs w:val="28"/>
        </w:rPr>
      </w:pPr>
    </w:p>
    <w:p w:rsidR="00094DC2" w:rsidRPr="00AC5218" w:rsidRDefault="004C37C4" w:rsidP="00D84F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7C4">
        <w:rPr>
          <w:rFonts w:ascii="Times New Roman" w:hAnsi="Times New Roman" w:cs="Times New Roman"/>
          <w:sz w:val="28"/>
          <w:szCs w:val="28"/>
        </w:rPr>
        <w:t>В соответствии с Законом  Краснодарского края от 6 ноября 2015 года  №3267-КЗ «О стратегическом планировании и индикативных планах социал</w:t>
      </w:r>
      <w:r w:rsidRPr="004C37C4">
        <w:rPr>
          <w:rFonts w:ascii="Times New Roman" w:hAnsi="Times New Roman" w:cs="Times New Roman"/>
          <w:sz w:val="28"/>
          <w:szCs w:val="28"/>
        </w:rPr>
        <w:t>ь</w:t>
      </w:r>
      <w:r w:rsidRPr="004C37C4">
        <w:rPr>
          <w:rFonts w:ascii="Times New Roman" w:hAnsi="Times New Roman" w:cs="Times New Roman"/>
          <w:sz w:val="28"/>
          <w:szCs w:val="28"/>
        </w:rPr>
        <w:t>но-экономического развития в Краснодарском крае»,</w:t>
      </w:r>
      <w:r w:rsidRPr="00A071D6">
        <w:rPr>
          <w:b/>
          <w:sz w:val="28"/>
          <w:szCs w:val="28"/>
        </w:rPr>
        <w:t xml:space="preserve"> </w:t>
      </w:r>
      <w:r w:rsidR="00094DC2" w:rsidRPr="00AC5218">
        <w:rPr>
          <w:rFonts w:ascii="Times New Roman" w:hAnsi="Times New Roman" w:cs="Times New Roman"/>
          <w:sz w:val="28"/>
          <w:szCs w:val="28"/>
        </w:rPr>
        <w:t>индикативные планы с</w:t>
      </w:r>
      <w:r w:rsidR="00094DC2" w:rsidRPr="00AC5218">
        <w:rPr>
          <w:rFonts w:ascii="Times New Roman" w:hAnsi="Times New Roman" w:cs="Times New Roman"/>
          <w:sz w:val="28"/>
          <w:szCs w:val="28"/>
        </w:rPr>
        <w:t>о</w:t>
      </w:r>
      <w:r w:rsidR="00094DC2" w:rsidRPr="00AC5218">
        <w:rPr>
          <w:rFonts w:ascii="Times New Roman" w:hAnsi="Times New Roman" w:cs="Times New Roman"/>
          <w:sz w:val="28"/>
          <w:szCs w:val="28"/>
        </w:rPr>
        <w:t>циально-экономического развития  являются основой для разработки местных бюджетов.</w:t>
      </w:r>
    </w:p>
    <w:p w:rsidR="002911B8" w:rsidRDefault="00284223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C5218">
        <w:rPr>
          <w:sz w:val="28"/>
          <w:szCs w:val="28"/>
        </w:rPr>
        <w:t>ндикативны</w:t>
      </w:r>
      <w:r>
        <w:rPr>
          <w:sz w:val="28"/>
          <w:szCs w:val="28"/>
        </w:rPr>
        <w:t>й план</w:t>
      </w:r>
      <w:r w:rsidRPr="00AC5218">
        <w:rPr>
          <w:sz w:val="28"/>
          <w:szCs w:val="28"/>
        </w:rPr>
        <w:t xml:space="preserve"> социально-экономического развития </w:t>
      </w:r>
      <w:r w:rsidR="008E59E8">
        <w:rPr>
          <w:sz w:val="28"/>
          <w:szCs w:val="28"/>
        </w:rPr>
        <w:t>Новотаманск</w:t>
      </w:r>
      <w:r w:rsidR="008E59E8">
        <w:rPr>
          <w:sz w:val="28"/>
          <w:szCs w:val="28"/>
        </w:rPr>
        <w:t>о</w:t>
      </w:r>
      <w:r w:rsidR="008E59E8">
        <w:rPr>
          <w:sz w:val="28"/>
          <w:szCs w:val="28"/>
        </w:rPr>
        <w:t>го сельского поселения Темрюкского района</w:t>
      </w:r>
      <w:r w:rsidRPr="00AC5218">
        <w:rPr>
          <w:sz w:val="28"/>
          <w:szCs w:val="28"/>
        </w:rPr>
        <w:t xml:space="preserve"> явля</w:t>
      </w:r>
      <w:r>
        <w:rPr>
          <w:sz w:val="28"/>
          <w:szCs w:val="28"/>
        </w:rPr>
        <w:t>е</w:t>
      </w:r>
      <w:r w:rsidRPr="00AC5218">
        <w:rPr>
          <w:sz w:val="28"/>
          <w:szCs w:val="28"/>
        </w:rPr>
        <w:t>тся основой для разработки  бюджет</w:t>
      </w:r>
      <w:r>
        <w:rPr>
          <w:sz w:val="28"/>
          <w:szCs w:val="28"/>
        </w:rPr>
        <w:t>а</w:t>
      </w:r>
      <w:r w:rsidR="003C4FB2">
        <w:rPr>
          <w:sz w:val="28"/>
          <w:szCs w:val="28"/>
        </w:rPr>
        <w:t xml:space="preserve"> Новотаманского сельского поселения Темрюкского района</w:t>
      </w:r>
      <w:r>
        <w:rPr>
          <w:sz w:val="28"/>
          <w:szCs w:val="28"/>
        </w:rPr>
        <w:t>. Показат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 деятельности </w:t>
      </w:r>
      <w:r w:rsidR="00295A69">
        <w:rPr>
          <w:sz w:val="28"/>
          <w:szCs w:val="28"/>
        </w:rPr>
        <w:t>хозяйствующих субъектов позволяют анализировать и план</w:t>
      </w:r>
      <w:r w:rsidR="00295A69">
        <w:rPr>
          <w:sz w:val="28"/>
          <w:szCs w:val="28"/>
        </w:rPr>
        <w:t>и</w:t>
      </w:r>
      <w:r w:rsidR="00295A69">
        <w:rPr>
          <w:sz w:val="28"/>
          <w:szCs w:val="28"/>
        </w:rPr>
        <w:t>ровать развитие налого</w:t>
      </w:r>
      <w:r w:rsidR="00024D96">
        <w:rPr>
          <w:sz w:val="28"/>
          <w:szCs w:val="28"/>
        </w:rPr>
        <w:t>о</w:t>
      </w:r>
      <w:r w:rsidR="00295A69">
        <w:rPr>
          <w:sz w:val="28"/>
          <w:szCs w:val="28"/>
        </w:rPr>
        <w:t xml:space="preserve">благаемой базы </w:t>
      </w:r>
      <w:r w:rsidR="008E59E8">
        <w:rPr>
          <w:sz w:val="28"/>
          <w:szCs w:val="28"/>
        </w:rPr>
        <w:t>поселения</w:t>
      </w:r>
      <w:r w:rsidR="00295A69">
        <w:rPr>
          <w:sz w:val="28"/>
          <w:szCs w:val="28"/>
        </w:rPr>
        <w:t>, рассчитывать доходные источники бюджета</w:t>
      </w:r>
      <w:r w:rsidR="008E59E8">
        <w:rPr>
          <w:sz w:val="28"/>
          <w:szCs w:val="28"/>
        </w:rPr>
        <w:t xml:space="preserve"> поселения</w:t>
      </w:r>
      <w:r w:rsidR="00295A69">
        <w:rPr>
          <w:sz w:val="28"/>
          <w:szCs w:val="28"/>
        </w:rPr>
        <w:t xml:space="preserve"> и</w:t>
      </w:r>
      <w:r w:rsidR="00DE119C">
        <w:rPr>
          <w:sz w:val="28"/>
          <w:szCs w:val="28"/>
        </w:rPr>
        <w:t>,</w:t>
      </w:r>
      <w:r w:rsidR="00295A69">
        <w:rPr>
          <w:sz w:val="28"/>
          <w:szCs w:val="28"/>
        </w:rPr>
        <w:t xml:space="preserve"> соответственно</w:t>
      </w:r>
      <w:r w:rsidR="00DE119C">
        <w:rPr>
          <w:sz w:val="28"/>
          <w:szCs w:val="28"/>
        </w:rPr>
        <w:t>,</w:t>
      </w:r>
      <w:r w:rsidR="00295A69">
        <w:rPr>
          <w:sz w:val="28"/>
          <w:szCs w:val="28"/>
        </w:rPr>
        <w:t xml:space="preserve"> направлять полученные сре</w:t>
      </w:r>
      <w:r w:rsidR="00295A69">
        <w:rPr>
          <w:sz w:val="28"/>
          <w:szCs w:val="28"/>
        </w:rPr>
        <w:t>д</w:t>
      </w:r>
      <w:r w:rsidR="00295A69">
        <w:rPr>
          <w:sz w:val="28"/>
          <w:szCs w:val="28"/>
        </w:rPr>
        <w:t>ства на развитие социальной сферы</w:t>
      </w:r>
      <w:r w:rsidR="00DE119C">
        <w:rPr>
          <w:sz w:val="28"/>
          <w:szCs w:val="28"/>
        </w:rPr>
        <w:t xml:space="preserve"> и инфраструктуры</w:t>
      </w:r>
      <w:r w:rsidR="002911B8">
        <w:rPr>
          <w:sz w:val="28"/>
          <w:szCs w:val="28"/>
        </w:rPr>
        <w:t xml:space="preserve"> поселения</w:t>
      </w:r>
      <w:r w:rsidR="00DE119C">
        <w:rPr>
          <w:sz w:val="28"/>
          <w:szCs w:val="28"/>
        </w:rPr>
        <w:t xml:space="preserve">. </w:t>
      </w:r>
    </w:p>
    <w:p w:rsidR="00DD4E3F" w:rsidRDefault="002911B8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Один из о</w:t>
      </w:r>
      <w:r w:rsidR="00DE119C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="00DE119C">
        <w:rPr>
          <w:sz w:val="28"/>
          <w:szCs w:val="28"/>
        </w:rPr>
        <w:t xml:space="preserve"> доходн</w:t>
      </w:r>
      <w:r>
        <w:rPr>
          <w:sz w:val="28"/>
          <w:szCs w:val="28"/>
        </w:rPr>
        <w:t>ых источников</w:t>
      </w:r>
      <w:r w:rsidR="00DE119C">
        <w:rPr>
          <w:sz w:val="28"/>
          <w:szCs w:val="28"/>
        </w:rPr>
        <w:t xml:space="preserve">  бюджета</w:t>
      </w:r>
      <w:r>
        <w:rPr>
          <w:sz w:val="28"/>
          <w:szCs w:val="28"/>
        </w:rPr>
        <w:t xml:space="preserve"> поселения -</w:t>
      </w:r>
      <w:r w:rsidR="00DD4E3F">
        <w:rPr>
          <w:sz w:val="28"/>
          <w:szCs w:val="28"/>
        </w:rPr>
        <w:t xml:space="preserve"> налог на дохо</w:t>
      </w:r>
      <w:r>
        <w:rPr>
          <w:sz w:val="28"/>
          <w:szCs w:val="28"/>
        </w:rPr>
        <w:t>ды физических лиц, п</w:t>
      </w:r>
      <w:r w:rsidR="00DE119C">
        <w:rPr>
          <w:sz w:val="28"/>
          <w:szCs w:val="28"/>
        </w:rPr>
        <w:t xml:space="preserve">оэтому </w:t>
      </w:r>
      <w:r w:rsidR="00DD4E3F">
        <w:rPr>
          <w:sz w:val="28"/>
          <w:szCs w:val="28"/>
        </w:rPr>
        <w:t>индикативный план включает</w:t>
      </w:r>
      <w:r>
        <w:rPr>
          <w:sz w:val="28"/>
          <w:szCs w:val="28"/>
        </w:rPr>
        <w:t xml:space="preserve"> такие </w:t>
      </w:r>
      <w:r w:rsidRPr="00B77AE2">
        <w:rPr>
          <w:sz w:val="28"/>
          <w:szCs w:val="28"/>
        </w:rPr>
        <w:t>показат</w:t>
      </w:r>
      <w:r w:rsidRPr="00B77AE2">
        <w:rPr>
          <w:sz w:val="28"/>
          <w:szCs w:val="28"/>
        </w:rPr>
        <w:t>е</w:t>
      </w:r>
      <w:r w:rsidRPr="00B77AE2">
        <w:rPr>
          <w:sz w:val="28"/>
          <w:szCs w:val="28"/>
        </w:rPr>
        <w:t>ли как  п</w:t>
      </w:r>
      <w:r w:rsidR="00DD4E3F" w:rsidRPr="00B77AE2">
        <w:rPr>
          <w:sz w:val="28"/>
          <w:szCs w:val="28"/>
        </w:rPr>
        <w:t>оказател</w:t>
      </w:r>
      <w:r w:rsidRPr="00B77AE2">
        <w:rPr>
          <w:sz w:val="28"/>
          <w:szCs w:val="28"/>
        </w:rPr>
        <w:t>ь</w:t>
      </w:r>
      <w:r w:rsidR="00DD4E3F" w:rsidRPr="00B77AE2">
        <w:rPr>
          <w:sz w:val="28"/>
          <w:szCs w:val="28"/>
        </w:rPr>
        <w:t xml:space="preserve"> по трудовым ресурсам, среднемесячной заработной плате, фонду заработной</w:t>
      </w:r>
      <w:r w:rsidR="00DD4E3F">
        <w:rPr>
          <w:sz w:val="28"/>
          <w:szCs w:val="28"/>
        </w:rPr>
        <w:t xml:space="preserve"> платы, что </w:t>
      </w:r>
      <w:r w:rsidR="003C4FB2">
        <w:rPr>
          <w:sz w:val="28"/>
          <w:szCs w:val="28"/>
        </w:rPr>
        <w:t>является базой для расчета НДФЛ.</w:t>
      </w:r>
    </w:p>
    <w:p w:rsidR="00284223" w:rsidRDefault="00DD4E3F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заключительном разделе индикативного плана приводятся показатели развития социальной сферы и инфраструктуры </w:t>
      </w:r>
      <w:r w:rsidR="002911B8">
        <w:rPr>
          <w:sz w:val="28"/>
          <w:szCs w:val="28"/>
        </w:rPr>
        <w:t>поселения</w:t>
      </w:r>
      <w:r>
        <w:rPr>
          <w:sz w:val="28"/>
          <w:szCs w:val="28"/>
        </w:rPr>
        <w:t>, т.к. именно эти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затели характеризуют эффективность работы всего хозяйственного комплекса </w:t>
      </w:r>
      <w:r w:rsidR="002911B8">
        <w:rPr>
          <w:sz w:val="28"/>
          <w:szCs w:val="28"/>
        </w:rPr>
        <w:t>поселения</w:t>
      </w:r>
      <w:r>
        <w:rPr>
          <w:sz w:val="28"/>
          <w:szCs w:val="28"/>
        </w:rPr>
        <w:t>, органов местного самоуправления</w:t>
      </w:r>
      <w:r w:rsidR="006F7F1C">
        <w:rPr>
          <w:sz w:val="28"/>
          <w:szCs w:val="28"/>
        </w:rPr>
        <w:t>.</w:t>
      </w:r>
    </w:p>
    <w:p w:rsidR="00284223" w:rsidRDefault="00284223" w:rsidP="00284223">
      <w:pPr>
        <w:ind w:firstLine="708"/>
        <w:jc w:val="both"/>
        <w:rPr>
          <w:b/>
          <w:sz w:val="28"/>
          <w:szCs w:val="28"/>
        </w:rPr>
      </w:pPr>
    </w:p>
    <w:p w:rsidR="00F54FC4" w:rsidRDefault="00F54FC4" w:rsidP="00F54F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Трудовые ресурсы, их занятость</w:t>
      </w:r>
      <w:r>
        <w:rPr>
          <w:b/>
        </w:rPr>
        <w:t xml:space="preserve">. </w:t>
      </w:r>
      <w:r>
        <w:rPr>
          <w:sz w:val="28"/>
          <w:szCs w:val="28"/>
        </w:rPr>
        <w:t>Среднегодовая численность постоянного населения в Новотаманском сельском поселении Темрюкского района по отч</w:t>
      </w:r>
      <w:r>
        <w:rPr>
          <w:sz w:val="28"/>
          <w:szCs w:val="28"/>
        </w:rPr>
        <w:t>ё</w:t>
      </w:r>
      <w:r>
        <w:rPr>
          <w:sz w:val="28"/>
          <w:szCs w:val="28"/>
        </w:rPr>
        <w:t>ту 2018 года составляет 5,1 тыс. человек. По оценке 2019 года и на плановый период планируется 2020-2022 годы 5,2 тыс. человек. Среднегодовая числе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занятых в экономике за анализируемый период стабильна и составляет 1,3 тысячи человек. Номинальная начисленная среднемесячная заработная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 по оценке  2019 года будет составлять  25544,5рублей, прогноз 2020 года составляет 26310,8 рублей или на 103,0% выше предыдущего периода,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руется устойчивое повышение  заработной платы жителей поселения. Фонд оплаты труда прогнозируется исходя из норматива отчислений по НДФЛ в бюджет поселения от организаций, осуществляющих свою деятельность на территории поселения. Тринадцать процентов отчислений свидетельствуют о  фонде заработной платы в 2018 году в размере 271,2 млн.рублей,  по оценке 2019 года 274,7 млн.рублей, прогнозируемый показатель  2020-2022 годов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ет тенденцию к повышению.   </w:t>
      </w:r>
      <w:r>
        <w:rPr>
          <w:bCs/>
          <w:sz w:val="28"/>
          <w:szCs w:val="28"/>
        </w:rPr>
        <w:t xml:space="preserve">Основным  налогообразующим предприятием является АО агрофирма «Южная».  </w:t>
      </w:r>
    </w:p>
    <w:p w:rsidR="00F54FC4" w:rsidRDefault="00F54FC4" w:rsidP="00F54FC4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Основная часть трудовых ресурсов Новотаманского сельского поселения используется ОАО агрофирмой «Южная» и организациями, осуществляющими  </w:t>
      </w:r>
      <w:r>
        <w:rPr>
          <w:sz w:val="28"/>
          <w:szCs w:val="28"/>
        </w:rPr>
        <w:lastRenderedPageBreak/>
        <w:t>трудовую деятельность в  порту Тамань.  На учете в центре занятости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 в 2019 году зарегистрировано 4 безработных человека, уровень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гистрируемой безработицы 0,1%. Это не соответствует реальной картине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тости населения. </w:t>
      </w:r>
    </w:p>
    <w:p w:rsidR="00F54FC4" w:rsidRDefault="00F54FC4" w:rsidP="00F54FC4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Прибыль и убыток предприятий на территории поселения за счёт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гостиниц, торговых точек, МУП «ЖКХ –Бугаз».</w:t>
      </w:r>
    </w:p>
    <w:p w:rsidR="00F54FC4" w:rsidRDefault="00F54FC4" w:rsidP="00F54FC4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Промышленная деятельность</w:t>
      </w:r>
      <w:r>
        <w:rPr>
          <w:sz w:val="28"/>
          <w:szCs w:val="28"/>
        </w:rPr>
        <w:t xml:space="preserve"> отражает итоговую сумму касающуюся добычи полезных ископаемых, обрабатывающих производств, обеспечение электроэнергией, газом и паром, водоснабжение, водоотведение, сбор и утил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 отходов. В рассматриваемом  индикативном плане показатель водосна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жения, водоотведения в размере 2,6 млн.рублей в  2018 году и 2,8 млн. рублей в 2019 году, что составляет 106,8%, планируется ежегодное увеличение этого показателя. Показатель «Сбор и утилизация отходов» в 2018 году составил 4,2 млн. рублей, по оценке 2019 года 4,5 млн. рублей, прогноз 2020-2022 годов – устойчивая тенденция к повышению .  На территории поселения работает МУП ЖКХ «Бугаз» , в пос. Веселовка ООО «ЮгАквасистемы»</w:t>
      </w:r>
    </w:p>
    <w:p w:rsidR="00F54FC4" w:rsidRDefault="00F54FC4" w:rsidP="00F54FC4">
      <w:pPr>
        <w:jc w:val="both"/>
      </w:pPr>
    </w:p>
    <w:p w:rsidR="00F54FC4" w:rsidRDefault="00F54FC4" w:rsidP="00F54FC4">
      <w:pPr>
        <w:pStyle w:val="ac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>
        <w:rPr>
          <w:b/>
          <w:sz w:val="28"/>
          <w:szCs w:val="28"/>
        </w:rPr>
        <w:t>Производство основных видов сельскохозяйственной продукции</w:t>
      </w:r>
      <w:r>
        <w:tab/>
        <w:t xml:space="preserve">  </w:t>
      </w:r>
      <w:r>
        <w:rPr>
          <w:sz w:val="28"/>
          <w:szCs w:val="28"/>
        </w:rPr>
        <w:t>на территории поселения развитием  сельского хозяйства занимаются  сельхозо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ганизации, крестьянско-фермерские  хозяйства,  индивидуальные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матели, личные подсобные хозяйства.  По оценке  2019 года, общий объём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 сельского хозяйства всех категорий хозяйств, по сравнению с 2018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дом, увеличился, и составил 108,4 млн.рублей. В 2019 году отмечается рост или достижение уровня прошлого года по всем основным показателям, такая же тенденция ожидается в прогнозируемом 2020 году и  на плановый период 2021-2022 годов. </w:t>
      </w:r>
    </w:p>
    <w:p w:rsidR="00F54FC4" w:rsidRDefault="00F54FC4" w:rsidP="00F54FC4">
      <w:pPr>
        <w:pStyle w:val="ac"/>
        <w:shd w:val="clear" w:color="auto" w:fill="F9F9FC"/>
        <w:jc w:val="both"/>
        <w:rPr>
          <w:sz w:val="15"/>
          <w:szCs w:val="15"/>
        </w:rPr>
      </w:pPr>
      <w:r>
        <w:rPr>
          <w:color w:val="333333"/>
          <w:sz w:val="28"/>
          <w:szCs w:val="28"/>
        </w:rPr>
        <w:t xml:space="preserve">    </w:t>
      </w:r>
      <w:r>
        <w:rPr>
          <w:sz w:val="28"/>
          <w:szCs w:val="28"/>
        </w:rPr>
        <w:t>Важнейшей задачей в области сельского хозяйства является ускорение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F54FC4" w:rsidRDefault="00F54FC4" w:rsidP="00F54FC4">
      <w:pPr>
        <w:pStyle w:val="ac"/>
        <w:shd w:val="clear" w:color="auto" w:fill="F9F9FC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Развитие потребительского рынка способствует созданию условий для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тия торговли, предприятий общественного питания, разветвление структуры платных услуг для населения Новотаманского сельского поселения Темрюкск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района. Оборот розничной торговли, общественного питания, объём платных услуг населению по оценке  2019 года по сравнению к 2018году и в прогноз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руемом  2020году имеют устойчивую тенденцию к повышению</w:t>
      </w:r>
      <w:r>
        <w:t>.</w:t>
      </w:r>
      <w:r>
        <w:rPr>
          <w:rFonts w:ascii="Trebuchet MS" w:hAnsi="Trebuchet MS"/>
        </w:rPr>
        <w:t>  </w:t>
      </w:r>
      <w:r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</w:t>
      </w:r>
      <w:r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>тельского спроса населения, основанный на увеличении денежных доходов; приход на рынок крупных российских операторов и представителей междун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родных торговых сетей.</w:t>
      </w:r>
    </w:p>
    <w:p w:rsidR="00F54FC4" w:rsidRDefault="00F54FC4" w:rsidP="00F54FC4">
      <w:pPr>
        <w:pStyle w:val="ac"/>
        <w:shd w:val="clear" w:color="auto" w:fill="F9F9FC"/>
        <w:jc w:val="both"/>
      </w:pPr>
    </w:p>
    <w:p w:rsidR="00F54FC4" w:rsidRDefault="00F54FC4" w:rsidP="00F54FC4">
      <w:pPr>
        <w:pStyle w:val="2"/>
        <w:spacing w:line="240" w:lineRule="auto"/>
        <w:ind w:left="0" w:right="-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Курортно-туристский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комплекс. </w:t>
      </w:r>
      <w:r>
        <w:rPr>
          <w:sz w:val="28"/>
          <w:szCs w:val="28"/>
        </w:rPr>
        <w:t>Развитие санаторно-курортного компле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са - одно из основных направлений  Стратегии социально-экономического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вития Новотаманского сельского поселения на 2009-2020годы.  В отличие от  </w:t>
      </w:r>
      <w:r>
        <w:rPr>
          <w:sz w:val="28"/>
          <w:szCs w:val="28"/>
        </w:rPr>
        <w:lastRenderedPageBreak/>
        <w:t>хорошо освоенных пляжей зон Черноморского побережья края, побережье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освоено в незначительной степени, это регион, способный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чить отдых и оздоровление людей с низким и средним уровнем доходов. Объём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доставляемых услуг курортно-туристическим комплексом по оценке 2019 года увеличился на 0,2% и составил 45,6 млн.рублей. В прогнозируемом 2020 году эта цифра должна увеличиться до 45,8 млн.рублей. Количество отдохну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 на территории поселения по оценке 2019 года 46,4 тыс. человек,  это на 0,4% больше по сравнению с 2018 годом. В 2020 году планируется принять 46,6 тыс. отдыхающих, в плановом периоде 2021-2022 годов ожидается рост этого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зателя.</w:t>
      </w:r>
    </w:p>
    <w:p w:rsidR="00F54FC4" w:rsidRDefault="00F54FC4" w:rsidP="00F54FC4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F54FC4" w:rsidRDefault="00F54FC4" w:rsidP="00F54FC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</w:rPr>
        <w:t xml:space="preserve">    Малый бизнес. </w:t>
      </w:r>
      <w:r>
        <w:rPr>
          <w:sz w:val="28"/>
          <w:szCs w:val="28"/>
        </w:rPr>
        <w:t>Малое предпринимательство на территории поселения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вивается стабильно, но недостаточно активно. Количество субъектов малого предпринимательства, по оценке 2019  года должно составило 68 единиц.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обходимо создавать условия для развития  поддержания этой структурной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расли на территории поселения. К сожалению, доходы бюджета не позволяют активно влиять на развитие малого бизнеса. Муниципальная программа  «По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держка малого и среднего предпринимательства в Новотаманском сельском поселении Темрюкского района в 2018-2020 годы» предполагает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 в размере 5,0тыс.рублей ежегодно. Эти средства планируется использовать для информационного обеспечения субъектов малого предпринимательства. </w:t>
      </w:r>
    </w:p>
    <w:p w:rsidR="00F54FC4" w:rsidRDefault="00F54FC4" w:rsidP="00F54FC4">
      <w:pPr>
        <w:jc w:val="both"/>
        <w:rPr>
          <w:sz w:val="28"/>
          <w:szCs w:val="28"/>
        </w:rPr>
      </w:pPr>
    </w:p>
    <w:p w:rsidR="00F54FC4" w:rsidRDefault="00F54FC4" w:rsidP="00F54F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Социальная сфера.</w:t>
      </w:r>
      <w:r>
        <w:rPr>
          <w:sz w:val="28"/>
          <w:szCs w:val="28"/>
        </w:rPr>
        <w:t xml:space="preserve">  Обеспеченность населения учреждениями здрав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охранения характеризуется следующими показателями. Посещений в смену амбулаторнополиклинических учреждений  на 10 тыс. жителей по оценке 2019 года 185 посещений в смену в расчёте на 10 тыс. человек, что на 0,5% выше по сравнению к 2018 году. Обеспеченность врачами на 10 тыс. человек населения 4,2,  этот показатель стабилен. Обеспеченность средним медицинским персон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лом  фактически по оценке  2019 года 4,8 человек. В прогнозируемом 2020 году  и  плановом периоде 2021-2022 годов показатель не меняется.</w:t>
      </w:r>
    </w:p>
    <w:p w:rsidR="00F54FC4" w:rsidRDefault="00F54FC4" w:rsidP="00F54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территории поселения находится три муниципальных бюджетных дошк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льных учреждения, два  муниципальных общеобразовательных бюджетных учреждений средней общеобразовательной школы, одно   муниципальное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щеобразовательное бюджетное учреждение основной общеобразовательной школы,  ГБПОУ  КК  ССХТ. Сто процентов учащихся обучается в первую см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ну.</w:t>
      </w:r>
    </w:p>
    <w:p w:rsidR="00F54FC4" w:rsidRDefault="00F54FC4" w:rsidP="00F54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Обеспеченность населения спортивными сооружениями в 2018 году сохр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няется на уровне 13кв.м на 1тыс.населения. На территории поселения имеется три стадиона, на базе СДК пос. Таманского работает спортивный тренажёрный зал, функционирует спортивная площадка в пос. Таманском, успешно выступ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футбольная команда «Черноморец», представленная тремя возрастными группами.</w:t>
      </w:r>
    </w:p>
    <w:p w:rsidR="00F54FC4" w:rsidRDefault="00F54FC4" w:rsidP="00F54F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Растет интерес жителей к спорту. Удельный вес населения, занимающ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гося спортом по оценке  2019 года составил 5,3%, в прогнозируемом 2020 году 5,4 %, что на 1,9% выше по сравнению с предыдущим годом.</w:t>
      </w:r>
    </w:p>
    <w:p w:rsidR="00F54FC4" w:rsidRDefault="00F54FC4" w:rsidP="00F54F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Cs/>
          <w:sz w:val="28"/>
          <w:szCs w:val="28"/>
        </w:rPr>
        <w:tab/>
      </w:r>
    </w:p>
    <w:p w:rsidR="00F54FC4" w:rsidRDefault="00F54FC4" w:rsidP="00F54FC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Инфраструктурная обеспеченность населения. </w:t>
      </w:r>
      <w:r>
        <w:rPr>
          <w:bCs/>
          <w:sz w:val="28"/>
          <w:szCs w:val="28"/>
        </w:rPr>
        <w:t>Протяжённость осв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щённых улиц Новотаманского сельского поселения Темрюкского района по оценке 2019 года составит 67,1 км, что на 124,3% больше по сравнению с 2018 годом.  </w:t>
      </w:r>
      <w:r>
        <w:rPr>
          <w:sz w:val="28"/>
          <w:szCs w:val="28"/>
        </w:rPr>
        <w:t>В 2019 году планируется провести ремонт сетей уличного освещения на сумму 1000,0 тыс.рублей. В 2020 году, в соответствии с муниципальной 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граммой «Благоустройство территории Новотаманского сельского поселения  Темрюкского района на 2018-2020 годы», эта работа будет продолжена.</w:t>
      </w:r>
    </w:p>
    <w:p w:rsidR="00F54FC4" w:rsidRDefault="00F54FC4" w:rsidP="00F54FC4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Ремонт дорог местного значения осуществляется в соответствии с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программой «Капитальный ремонт и ремонт автомобильных дорог местного значения Новотаманского сельского поселения Темрюкского района» и краевой целевой программой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края». Протяжённость отремонтированных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томобильных дорог местного значения по оценке  2019 года составит 2,2 км. С привлечением краевых средств  был произведён ремонт улиц протяжённостью 1,1 км, в том числе:  ул. Гаражной в посёлке Таманский, ул. Центральной до ул. Босфорской в п. Веселовка, ул. Парковой от ул. Мартыненко до ул. Крайней в п. Прогресс.  Помимо этого был  произведён, а так же  планируется произвести к концу года ремонт улиц в щебёночном  исполнении протяжённостью 1,1 км, проведён ямочный ремонт.  </w:t>
      </w:r>
    </w:p>
    <w:p w:rsidR="00F54FC4" w:rsidRDefault="00F54FC4" w:rsidP="00F54FC4">
      <w:pPr>
        <w:jc w:val="both"/>
        <w:rPr>
          <w:bCs/>
          <w:sz w:val="28"/>
          <w:szCs w:val="28"/>
        </w:rPr>
      </w:pPr>
    </w:p>
    <w:p w:rsidR="00F54FC4" w:rsidRDefault="00F54FC4" w:rsidP="00F54FC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Благоустройство. </w:t>
      </w:r>
      <w:r>
        <w:rPr>
          <w:sz w:val="28"/>
          <w:szCs w:val="28"/>
        </w:rPr>
        <w:t>В целях содержания в чистоте и санитарном порядке территории поселения, обеспечения безопасности движения, соблюдения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 экологической безопасности проводятся мероприятия по высадке зеленых насаждений, ремонту дорог и тротуаров, ведётся кошение растительности,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нансируется содержание мест захоронения, прочее благоустройство 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рии. </w:t>
      </w:r>
    </w:p>
    <w:p w:rsidR="00F54FC4" w:rsidRDefault="00F54FC4" w:rsidP="00F54FC4">
      <w:pPr>
        <w:ind w:firstLine="708"/>
        <w:jc w:val="both"/>
        <w:rPr>
          <w:sz w:val="28"/>
          <w:szCs w:val="28"/>
        </w:rPr>
      </w:pPr>
    </w:p>
    <w:p w:rsidR="00F54FC4" w:rsidRDefault="00F54FC4" w:rsidP="00F54FC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налогового потенциала по налогам. </w:t>
      </w:r>
      <w:r>
        <w:rPr>
          <w:sz w:val="28"/>
          <w:szCs w:val="28"/>
        </w:rPr>
        <w:t>Исполнение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 индикативного планирования предусматривает развитие налогообл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гаемой базы поселения. В данном индикативном плане приведены такие 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затели как  налоговый потенциал по налогу на имущество физических лиц, показатели налогового потенциала по земельному налогу, показатели поте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циала по доходам от аренды муниципального имущества. Часть показателей представлена в виде приложения в табличной форме. Прогнозирование 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и неналоговых поступлений направлено на увеличение объёма налоговых поступлений в бюджет поселения и, соответственно, увеличения бюджетных ассигнований направленных на развитие социальной инфраструктуры Новот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манского сельского поселения. </w:t>
      </w:r>
    </w:p>
    <w:p w:rsidR="00F54FC4" w:rsidRDefault="00F54FC4" w:rsidP="00F54FC4">
      <w:pPr>
        <w:rPr>
          <w:b/>
          <w:sz w:val="28"/>
          <w:szCs w:val="28"/>
        </w:rPr>
      </w:pPr>
    </w:p>
    <w:p w:rsidR="00F54FC4" w:rsidRDefault="00F54FC4" w:rsidP="00F54FC4">
      <w:pPr>
        <w:rPr>
          <w:b/>
          <w:sz w:val="28"/>
          <w:szCs w:val="28"/>
        </w:rPr>
      </w:pPr>
    </w:p>
    <w:p w:rsidR="00F54FC4" w:rsidRDefault="00F54FC4" w:rsidP="00F54FC4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Е.Н. Даева</w:t>
      </w:r>
    </w:p>
    <w:p w:rsidR="00C4301A" w:rsidRDefault="00C4301A" w:rsidP="00F54FC4">
      <w:pPr>
        <w:jc w:val="both"/>
        <w:rPr>
          <w:bCs/>
          <w:sz w:val="28"/>
          <w:szCs w:val="28"/>
        </w:rPr>
      </w:pPr>
    </w:p>
    <w:sectPr w:rsidR="00C4301A" w:rsidSect="005F489C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5E3" w:rsidRDefault="008145E3">
      <w:r>
        <w:separator/>
      </w:r>
    </w:p>
  </w:endnote>
  <w:endnote w:type="continuationSeparator" w:id="1">
    <w:p w:rsidR="008145E3" w:rsidRDefault="0081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5E3" w:rsidRDefault="008145E3">
      <w:r>
        <w:separator/>
      </w:r>
    </w:p>
  </w:footnote>
  <w:footnote w:type="continuationSeparator" w:id="1">
    <w:p w:rsidR="008145E3" w:rsidRDefault="00814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DD2678" w:rsidP="006462D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229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2939" w:rsidRDefault="0032293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DD2678" w:rsidP="006462D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2293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4FC4">
      <w:rPr>
        <w:rStyle w:val="a6"/>
        <w:noProof/>
      </w:rPr>
      <w:t>2</w:t>
    </w:r>
    <w:r>
      <w:rPr>
        <w:rStyle w:val="a6"/>
      </w:rPr>
      <w:fldChar w:fldCharType="end"/>
    </w:r>
  </w:p>
  <w:p w:rsidR="00322939" w:rsidRDefault="003229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56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ECD"/>
    <w:rsid w:val="001A1196"/>
    <w:rsid w:val="001A3E58"/>
    <w:rsid w:val="001A4094"/>
    <w:rsid w:val="001A4A45"/>
    <w:rsid w:val="001A5B44"/>
    <w:rsid w:val="001B00A2"/>
    <w:rsid w:val="001B1749"/>
    <w:rsid w:val="001B3B36"/>
    <w:rsid w:val="001B4CC8"/>
    <w:rsid w:val="001B564B"/>
    <w:rsid w:val="001B5F56"/>
    <w:rsid w:val="001B7956"/>
    <w:rsid w:val="001C0B83"/>
    <w:rsid w:val="001D1EF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5F95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6D3C"/>
    <w:rsid w:val="003E16B8"/>
    <w:rsid w:val="003E480B"/>
    <w:rsid w:val="003E605D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432D"/>
    <w:rsid w:val="00444D1F"/>
    <w:rsid w:val="00450C23"/>
    <w:rsid w:val="00453361"/>
    <w:rsid w:val="00460634"/>
    <w:rsid w:val="00460A0A"/>
    <w:rsid w:val="00461484"/>
    <w:rsid w:val="00461743"/>
    <w:rsid w:val="00462172"/>
    <w:rsid w:val="004668AA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CFF"/>
    <w:rsid w:val="00500E5B"/>
    <w:rsid w:val="00504A42"/>
    <w:rsid w:val="00504BB5"/>
    <w:rsid w:val="0050678B"/>
    <w:rsid w:val="005074D1"/>
    <w:rsid w:val="00513A70"/>
    <w:rsid w:val="00522516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8024C"/>
    <w:rsid w:val="00685AEE"/>
    <w:rsid w:val="00686043"/>
    <w:rsid w:val="0069050A"/>
    <w:rsid w:val="00690801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401DB"/>
    <w:rsid w:val="00740AD4"/>
    <w:rsid w:val="00743AEA"/>
    <w:rsid w:val="00745352"/>
    <w:rsid w:val="0074636D"/>
    <w:rsid w:val="00746F19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79ED"/>
    <w:rsid w:val="00807A50"/>
    <w:rsid w:val="008141FB"/>
    <w:rsid w:val="00814245"/>
    <w:rsid w:val="008145E3"/>
    <w:rsid w:val="00815F68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B5734"/>
    <w:rsid w:val="00BB66DA"/>
    <w:rsid w:val="00BC0017"/>
    <w:rsid w:val="00BC089F"/>
    <w:rsid w:val="00BC1681"/>
    <w:rsid w:val="00BC2727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AD1"/>
    <w:rsid w:val="00CF260C"/>
    <w:rsid w:val="00CF5AC0"/>
    <w:rsid w:val="00CF630F"/>
    <w:rsid w:val="00CF691A"/>
    <w:rsid w:val="00D02C15"/>
    <w:rsid w:val="00D06ABC"/>
    <w:rsid w:val="00D06AF6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93A"/>
    <w:rsid w:val="00D460B3"/>
    <w:rsid w:val="00D46D77"/>
    <w:rsid w:val="00D47265"/>
    <w:rsid w:val="00D521EA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678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54FC4"/>
    <w:rsid w:val="00F65C84"/>
    <w:rsid w:val="00F66900"/>
    <w:rsid w:val="00F66EA0"/>
    <w:rsid w:val="00F71058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031C"/>
    <w:pPr>
      <w:spacing w:line="360" w:lineRule="auto"/>
      <w:jc w:val="both"/>
    </w:pPr>
  </w:style>
  <w:style w:type="paragraph" w:styleId="a5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81286"/>
  </w:style>
  <w:style w:type="paragraph" w:styleId="a7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,Знак"/>
    <w:basedOn w:val="a"/>
    <w:link w:val="20"/>
    <w:rsid w:val="00935E61"/>
    <w:pPr>
      <w:spacing w:after="120" w:line="480" w:lineRule="auto"/>
      <w:ind w:left="283"/>
    </w:pPr>
  </w:style>
  <w:style w:type="paragraph" w:styleId="a8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9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a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rsid w:val="00313A8A"/>
  </w:style>
  <w:style w:type="character" w:customStyle="1" w:styleId="a4">
    <w:name w:val="Основной текст Знак"/>
    <w:basedOn w:val="a0"/>
    <w:link w:val="a3"/>
    <w:rsid w:val="00F54FC4"/>
    <w:rPr>
      <w:sz w:val="24"/>
      <w:szCs w:val="24"/>
    </w:rPr>
  </w:style>
  <w:style w:type="character" w:customStyle="1" w:styleId="20">
    <w:name w:val="Основной текст с отступом 2 Знак"/>
    <w:aliases w:val="Знак Знак1"/>
    <w:basedOn w:val="a0"/>
    <w:link w:val="2"/>
    <w:locked/>
    <w:rsid w:val="00F54F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2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4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6</cp:revision>
  <cp:lastPrinted>2017-10-17T12:36:00Z</cp:lastPrinted>
  <dcterms:created xsi:type="dcterms:W3CDTF">2010-11-17T06:20:00Z</dcterms:created>
  <dcterms:modified xsi:type="dcterms:W3CDTF">2019-11-13T04:29:00Z</dcterms:modified>
</cp:coreProperties>
</file>