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6003E9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202</w:t>
      </w:r>
      <w:r w:rsidR="003F56B7">
        <w:rPr>
          <w:sz w:val="28"/>
          <w:szCs w:val="28"/>
        </w:rPr>
        <w:t>3</w:t>
      </w:r>
      <w:r w:rsidR="0092764C">
        <w:rPr>
          <w:sz w:val="28"/>
          <w:szCs w:val="28"/>
        </w:rPr>
        <w:t>-202</w:t>
      </w:r>
      <w:r w:rsidR="0076470A">
        <w:rPr>
          <w:sz w:val="28"/>
          <w:szCs w:val="28"/>
        </w:rPr>
        <w:t>5</w:t>
      </w:r>
      <w:r w:rsidR="0092764C">
        <w:rPr>
          <w:sz w:val="28"/>
          <w:szCs w:val="28"/>
        </w:rPr>
        <w:t xml:space="preserve"> годы</w:t>
      </w: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Новотаманского сельского поселения Темрюкского района на 202</w:t>
      </w:r>
      <w:r w:rsidR="0076470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76470A">
        <w:rPr>
          <w:sz w:val="28"/>
          <w:szCs w:val="28"/>
        </w:rPr>
        <w:t>3-</w:t>
      </w:r>
      <w:r>
        <w:rPr>
          <w:sz w:val="28"/>
          <w:szCs w:val="28"/>
        </w:rPr>
        <w:t>202</w:t>
      </w:r>
      <w:r w:rsidR="0076470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 w:rsidR="00F7171A">
        <w:rPr>
          <w:sz w:val="28"/>
          <w:szCs w:val="28"/>
        </w:rPr>
        <w:t xml:space="preserve">го края, </w:t>
      </w:r>
      <w:r>
        <w:rPr>
          <w:sz w:val="28"/>
          <w:szCs w:val="28"/>
        </w:rPr>
        <w:t>муницип</w:t>
      </w:r>
      <w:r w:rsidR="00F7171A">
        <w:rPr>
          <w:sz w:val="28"/>
          <w:szCs w:val="28"/>
        </w:rPr>
        <w:t xml:space="preserve">ального образования Темрюкский </w:t>
      </w:r>
      <w:r>
        <w:rPr>
          <w:sz w:val="28"/>
          <w:szCs w:val="28"/>
        </w:rPr>
        <w:t>район и Новотаманского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 прогноза социально-экономического развития территории.</w:t>
      </w:r>
    </w:p>
    <w:p w:rsidR="00D43AA1" w:rsidRDefault="00D43AA1" w:rsidP="00D43AA1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прогноза осуществлялась с учетом изменений внутренних и внешних условий, динамики внешнеэкономической конъюнктуры и тенденций развития мировой экономики, а также итогов социально-экономического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тия Новотаманского сельского поселения Темрюкского района за январь-сентябрь 2022 года.</w:t>
      </w:r>
    </w:p>
    <w:p w:rsidR="00D43AA1" w:rsidRDefault="00D43AA1" w:rsidP="00D43AA1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Прогноз основных макроэкономических параметров до 2025 года разраб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тан в составе двух основных вариантов – базового и консервативного.</w:t>
      </w:r>
    </w:p>
    <w:p w:rsidR="00D43AA1" w:rsidRDefault="00D43AA1" w:rsidP="00D43AA1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Для минимизации рисков, связанных с формированием доходной части бюджета, в качестве основного рабочего выбран базовый сценарий, который характеризует развитие экономики поселения в условиях восстановительного характера, дальнейшего замедления инфляционных процессов, однако с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деленным сохранением консервативных тенденций изменения внешних факт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ров.</w:t>
      </w:r>
    </w:p>
    <w:p w:rsidR="00D43AA1" w:rsidRDefault="00D43AA1" w:rsidP="00D43AA1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разработанный вариант прогноза является достаточно амб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циозным, поскольку характеризует развитие экономики поселения в условиях реализации принятых дополнительных мер стимулирующего характера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полагает активную политику, направленную на обеспечение устойчивого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 экономики и социальной стабильности.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 xml:space="preserve">В основу прогноза социально-экономического развития </w:t>
      </w:r>
      <w:r>
        <w:rPr>
          <w:sz w:val="28"/>
          <w:szCs w:val="28"/>
        </w:rPr>
        <w:t>Новотаманского</w:t>
      </w:r>
      <w:r w:rsidRPr="00EE4B71">
        <w:rPr>
          <w:sz w:val="28"/>
          <w:szCs w:val="28"/>
        </w:rPr>
        <w:t xml:space="preserve"> сел</w:t>
      </w:r>
      <w:r w:rsidRPr="00EE4B71">
        <w:rPr>
          <w:sz w:val="28"/>
          <w:szCs w:val="28"/>
        </w:rPr>
        <w:t>ь</w:t>
      </w:r>
      <w:r w:rsidRPr="00EE4B71">
        <w:rPr>
          <w:sz w:val="28"/>
          <w:szCs w:val="28"/>
        </w:rPr>
        <w:t>ского поселения Темрюкского района положены: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  <w:t>- методические рекомендации департамента экономического развития по разработке прогноза;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  <w:t>- итоги развития экономики  поселения в предшествующие годы;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  <w:t>- основные направления и задачи развития хозяйственного комплекса поселения в  среднесрочной перспективе, определяемые необходимостью п</w:t>
      </w:r>
      <w:r w:rsidRPr="00EE4B71">
        <w:rPr>
          <w:sz w:val="28"/>
          <w:szCs w:val="28"/>
        </w:rPr>
        <w:t>о</w:t>
      </w:r>
      <w:r w:rsidRPr="00EE4B71">
        <w:rPr>
          <w:sz w:val="28"/>
          <w:szCs w:val="28"/>
        </w:rPr>
        <w:t>следовательного повышения уровня  жизни населения за счет вовлечения р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зервов роста налогооблагаемой базы реальных отраслей экономики, реализации инвестиционных проектов.</w:t>
      </w:r>
    </w:p>
    <w:p w:rsidR="00D43AA1" w:rsidRPr="00EE4B71" w:rsidRDefault="00D43AA1" w:rsidP="00D43A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EE4B71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Новотаманского</w:t>
      </w:r>
      <w:r w:rsidRPr="00EE4B71">
        <w:rPr>
          <w:sz w:val="28"/>
          <w:szCs w:val="28"/>
        </w:rPr>
        <w:t xml:space="preserve"> сел</w:t>
      </w:r>
      <w:r w:rsidRPr="00EE4B71">
        <w:rPr>
          <w:sz w:val="28"/>
          <w:szCs w:val="28"/>
        </w:rPr>
        <w:t>ь</w:t>
      </w:r>
      <w:r w:rsidRPr="00EE4B71">
        <w:rPr>
          <w:sz w:val="28"/>
          <w:szCs w:val="28"/>
        </w:rPr>
        <w:t>ского поселения Темрюкского района разрабатывается ежегодно в качестве обяз</w:t>
      </w:r>
      <w:r w:rsidRPr="00EE4B71">
        <w:rPr>
          <w:sz w:val="28"/>
          <w:szCs w:val="28"/>
        </w:rPr>
        <w:t>а</w:t>
      </w:r>
      <w:r w:rsidRPr="00EE4B71">
        <w:rPr>
          <w:sz w:val="28"/>
          <w:szCs w:val="28"/>
        </w:rPr>
        <w:t>тельной основы для формирования целей и приоритетов деятельности местного самоуправления и является основой для разработки местного бюдж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та.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EE4B71">
        <w:rPr>
          <w:sz w:val="28"/>
          <w:szCs w:val="28"/>
        </w:rPr>
        <w:tab/>
      </w:r>
      <w:r>
        <w:rPr>
          <w:sz w:val="28"/>
          <w:szCs w:val="28"/>
        </w:rPr>
        <w:t>В целях разработки объективного прогноза</w:t>
      </w:r>
      <w:r w:rsidRPr="00EE4B71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Новотаманского</w:t>
      </w:r>
      <w:r w:rsidRPr="00EE4B71">
        <w:rPr>
          <w:sz w:val="28"/>
          <w:szCs w:val="28"/>
        </w:rPr>
        <w:t xml:space="preserve"> сельского поселения Темрюкского района и недопу</w:t>
      </w:r>
      <w:r w:rsidRPr="00EE4B71">
        <w:rPr>
          <w:sz w:val="28"/>
          <w:szCs w:val="28"/>
        </w:rPr>
        <w:t>с</w:t>
      </w:r>
      <w:r w:rsidRPr="00EE4B71">
        <w:rPr>
          <w:sz w:val="28"/>
          <w:szCs w:val="28"/>
        </w:rPr>
        <w:t>тимости ухудшения условий жизни населения проводится: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 xml:space="preserve">ежеквартально нарастающим итогом анализ социально-экономической ситуации на территории </w:t>
      </w:r>
      <w:r>
        <w:rPr>
          <w:sz w:val="28"/>
          <w:szCs w:val="28"/>
        </w:rPr>
        <w:t>Новотаманского</w:t>
      </w:r>
      <w:r w:rsidRPr="00EE4B71">
        <w:rPr>
          <w:sz w:val="28"/>
          <w:szCs w:val="28"/>
        </w:rPr>
        <w:t xml:space="preserve"> сельского поселения Темрюкского района;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согласование с организациями, независимо от форм собственности, ра</w:t>
      </w:r>
      <w:r w:rsidRPr="00EE4B71">
        <w:rPr>
          <w:sz w:val="28"/>
          <w:szCs w:val="28"/>
        </w:rPr>
        <w:t>с</w:t>
      </w:r>
      <w:r w:rsidRPr="00EE4B71">
        <w:rPr>
          <w:sz w:val="28"/>
          <w:szCs w:val="28"/>
        </w:rPr>
        <w:t xml:space="preserve">положенными на подведомственной территории, муниципальных заказов на 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>производство продукции (работ и услуг), необходимых для удовлетворения коммунально-бытовых и социально-культурных потребностей населения;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рассмотрение и согласование предложений по размещению новых или расширению и реконструкции действующих производственных объектов;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взаимодействие с организациями независимо от форм собственности и получение от них предложений и материалов для разработки  прогнозов соц</w:t>
      </w:r>
      <w:r w:rsidRPr="00EE4B71">
        <w:rPr>
          <w:sz w:val="28"/>
          <w:szCs w:val="28"/>
        </w:rPr>
        <w:t>и</w:t>
      </w:r>
      <w:r w:rsidRPr="00EE4B71">
        <w:rPr>
          <w:sz w:val="28"/>
          <w:szCs w:val="28"/>
        </w:rPr>
        <w:t>ально-экономического развития;</w:t>
      </w:r>
    </w:p>
    <w:p w:rsidR="00D43AA1" w:rsidRPr="00EE4B71" w:rsidRDefault="00D43AA1" w:rsidP="00D43AA1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EE4B71">
        <w:rPr>
          <w:sz w:val="28"/>
          <w:szCs w:val="28"/>
        </w:rPr>
        <w:t>поиск (формирование) дополнительных источников доходов местного бюджета.</w:t>
      </w:r>
    </w:p>
    <w:p w:rsidR="00D43AA1" w:rsidRPr="00302FD8" w:rsidRDefault="00D43AA1" w:rsidP="00302FD8">
      <w:pPr>
        <w:jc w:val="both"/>
        <w:rPr>
          <w:sz w:val="28"/>
          <w:szCs w:val="28"/>
        </w:rPr>
      </w:pPr>
      <w:r w:rsidRPr="00EE4B71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EE4B71">
        <w:rPr>
          <w:sz w:val="28"/>
          <w:szCs w:val="28"/>
        </w:rPr>
        <w:t xml:space="preserve"> условиях высокого уровня изменчивости экономической среды пар</w:t>
      </w:r>
      <w:r w:rsidRPr="00EE4B71">
        <w:rPr>
          <w:sz w:val="28"/>
          <w:szCs w:val="28"/>
        </w:rPr>
        <w:t>а</w:t>
      </w:r>
      <w:r w:rsidRPr="00EE4B71">
        <w:rPr>
          <w:sz w:val="28"/>
          <w:szCs w:val="28"/>
        </w:rPr>
        <w:t xml:space="preserve">метры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Новотаманского</w:t>
      </w:r>
      <w:r w:rsidRPr="00EE4B71">
        <w:rPr>
          <w:sz w:val="28"/>
          <w:szCs w:val="28"/>
        </w:rPr>
        <w:t xml:space="preserve"> сельск</w:t>
      </w:r>
      <w:r w:rsidRPr="00EE4B71">
        <w:rPr>
          <w:sz w:val="28"/>
          <w:szCs w:val="28"/>
        </w:rPr>
        <w:t>о</w:t>
      </w:r>
      <w:r w:rsidRPr="00EE4B71">
        <w:rPr>
          <w:sz w:val="28"/>
          <w:szCs w:val="28"/>
        </w:rPr>
        <w:t>го поселения Темрюкского района определяются как гибкие показатели и могут изменяться как в процессе согласования, так и в процессе практической реал</w:t>
      </w:r>
      <w:r w:rsidRPr="00EE4B71">
        <w:rPr>
          <w:sz w:val="28"/>
          <w:szCs w:val="28"/>
        </w:rPr>
        <w:t>и</w:t>
      </w:r>
      <w:r w:rsidRPr="00EE4B71">
        <w:rPr>
          <w:sz w:val="28"/>
          <w:szCs w:val="28"/>
        </w:rPr>
        <w:t xml:space="preserve">зации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>. Поэтому, учитывая особенности процесса планирования, когда разрабо</w:t>
      </w:r>
      <w:r w:rsidRPr="00EE4B71">
        <w:rPr>
          <w:sz w:val="28"/>
          <w:szCs w:val="28"/>
        </w:rPr>
        <w:t>т</w:t>
      </w:r>
      <w:r w:rsidRPr="00EE4B71">
        <w:rPr>
          <w:sz w:val="28"/>
          <w:szCs w:val="28"/>
        </w:rPr>
        <w:t>ка индикаторов и планирование темпов роста происходит на основе оценки текущего года, а не отчетных данных, предлагается проводить своевр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 xml:space="preserve">менные корректировки показателей </w:t>
      </w:r>
      <w:r>
        <w:rPr>
          <w:sz w:val="28"/>
          <w:szCs w:val="28"/>
        </w:rPr>
        <w:t>прогноза</w:t>
      </w:r>
      <w:r w:rsidRPr="00EE4B71">
        <w:rPr>
          <w:sz w:val="28"/>
          <w:szCs w:val="28"/>
        </w:rPr>
        <w:t>. Это позволит учитывать измен</w:t>
      </w:r>
      <w:r w:rsidRPr="00EE4B71">
        <w:rPr>
          <w:sz w:val="28"/>
          <w:szCs w:val="28"/>
        </w:rPr>
        <w:t>е</w:t>
      </w:r>
      <w:r w:rsidRPr="00EE4B71">
        <w:rPr>
          <w:sz w:val="28"/>
          <w:szCs w:val="28"/>
        </w:rPr>
        <w:t>ния налогооблагаемой базы и соответственно объемов ожидаемых дох</w:t>
      </w:r>
      <w:r w:rsidRPr="00EE4B71">
        <w:rPr>
          <w:sz w:val="28"/>
          <w:szCs w:val="28"/>
        </w:rPr>
        <w:t>о</w:t>
      </w:r>
      <w:r w:rsidRPr="00EE4B71">
        <w:rPr>
          <w:sz w:val="28"/>
          <w:szCs w:val="28"/>
        </w:rPr>
        <w:t>дов в бюджет поселения.</w:t>
      </w:r>
    </w:p>
    <w:p w:rsidR="0030742C" w:rsidRPr="00302FD8" w:rsidRDefault="0030742C" w:rsidP="00D55672">
      <w:pPr>
        <w:ind w:firstLine="708"/>
        <w:jc w:val="both"/>
        <w:rPr>
          <w:sz w:val="28"/>
          <w:szCs w:val="28"/>
        </w:rPr>
      </w:pPr>
      <w:r w:rsidRPr="00302FD8">
        <w:rPr>
          <w:sz w:val="28"/>
          <w:szCs w:val="28"/>
        </w:rPr>
        <w:t xml:space="preserve">Прогноз построен на </w:t>
      </w:r>
      <w:r w:rsidR="004F290C" w:rsidRPr="00302FD8">
        <w:rPr>
          <w:sz w:val="28"/>
          <w:szCs w:val="28"/>
        </w:rPr>
        <w:t xml:space="preserve">основании статистических данных, </w:t>
      </w:r>
      <w:r w:rsidRPr="00302FD8">
        <w:rPr>
          <w:sz w:val="28"/>
          <w:szCs w:val="28"/>
        </w:rPr>
        <w:t xml:space="preserve"> предоставле</w:t>
      </w:r>
      <w:r w:rsidRPr="00302FD8">
        <w:rPr>
          <w:sz w:val="28"/>
          <w:szCs w:val="28"/>
        </w:rPr>
        <w:t>н</w:t>
      </w:r>
      <w:r w:rsidRPr="00302FD8">
        <w:rPr>
          <w:sz w:val="28"/>
          <w:szCs w:val="28"/>
        </w:rPr>
        <w:t xml:space="preserve">ных </w:t>
      </w:r>
      <w:r w:rsidR="003D2B7C" w:rsidRPr="00302FD8">
        <w:rPr>
          <w:sz w:val="28"/>
          <w:szCs w:val="28"/>
        </w:rPr>
        <w:t>Территориальным органом Федеральной службы государственной стат</w:t>
      </w:r>
      <w:r w:rsidR="003D2B7C" w:rsidRPr="00302FD8">
        <w:rPr>
          <w:sz w:val="28"/>
          <w:szCs w:val="28"/>
        </w:rPr>
        <w:t>и</w:t>
      </w:r>
      <w:r w:rsidR="003D2B7C" w:rsidRPr="00302FD8">
        <w:rPr>
          <w:sz w:val="28"/>
          <w:szCs w:val="28"/>
        </w:rPr>
        <w:t>стики по Краснодарскому краю (Темрюкский район), муниципальных пр</w:t>
      </w:r>
      <w:r w:rsidR="003D2B7C" w:rsidRPr="00302FD8">
        <w:rPr>
          <w:sz w:val="28"/>
          <w:szCs w:val="28"/>
        </w:rPr>
        <w:t>о</w:t>
      </w:r>
      <w:r w:rsidR="003D2B7C" w:rsidRPr="00302FD8">
        <w:rPr>
          <w:sz w:val="28"/>
          <w:szCs w:val="28"/>
        </w:rPr>
        <w:t>грамм Новотаманского сельского поселения, прогнозируемого поступления доходов.</w:t>
      </w:r>
    </w:p>
    <w:p w:rsidR="003D2B7C" w:rsidRPr="00302FD8" w:rsidRDefault="003D2B7C" w:rsidP="00D55672">
      <w:pPr>
        <w:ind w:firstLine="708"/>
        <w:jc w:val="both"/>
        <w:rPr>
          <w:sz w:val="28"/>
          <w:szCs w:val="28"/>
        </w:rPr>
      </w:pPr>
      <w:r w:rsidRPr="00302FD8">
        <w:rPr>
          <w:sz w:val="28"/>
          <w:szCs w:val="28"/>
        </w:rPr>
        <w:t>В соответствии с разделами, представленными  в  прогнозе социально-экономического развития Новотаманского сельского поселения Темрюкского района раскрываются следующие показатели:</w:t>
      </w:r>
    </w:p>
    <w:p w:rsidR="005E2EAA" w:rsidRPr="00302FD8" w:rsidRDefault="00DE119C" w:rsidP="00302FD8">
      <w:pPr>
        <w:ind w:firstLine="708"/>
        <w:jc w:val="both"/>
        <w:rPr>
          <w:b/>
          <w:color w:val="FF0000"/>
          <w:sz w:val="28"/>
          <w:szCs w:val="28"/>
        </w:rPr>
      </w:pPr>
      <w:r w:rsidRPr="00D43AA1">
        <w:rPr>
          <w:color w:val="FF0000"/>
          <w:sz w:val="28"/>
          <w:szCs w:val="28"/>
        </w:rPr>
        <w:t xml:space="preserve"> </w:t>
      </w:r>
    </w:p>
    <w:p w:rsidR="00302FD8" w:rsidRPr="00302FD8" w:rsidRDefault="00302FD8" w:rsidP="00302FD8">
      <w:pPr>
        <w:jc w:val="both"/>
        <w:rPr>
          <w:color w:val="FF0000"/>
          <w:sz w:val="28"/>
          <w:szCs w:val="28"/>
        </w:rPr>
      </w:pPr>
      <w:r w:rsidRPr="00302FD8">
        <w:rPr>
          <w:b/>
          <w:sz w:val="28"/>
          <w:szCs w:val="28"/>
        </w:rPr>
        <w:t xml:space="preserve">    Трудовые ресурсы, их занятость</w:t>
      </w:r>
      <w:r w:rsidRPr="00302FD8">
        <w:rPr>
          <w:b/>
        </w:rPr>
        <w:t xml:space="preserve">. </w:t>
      </w:r>
      <w:r w:rsidRPr="00302FD8">
        <w:rPr>
          <w:sz w:val="28"/>
          <w:szCs w:val="28"/>
        </w:rPr>
        <w:t>Среднегодовая численность постоянного населения в Новотаманском сельском поселении Темрюкского района по отч</w:t>
      </w:r>
      <w:r w:rsidRPr="00302FD8">
        <w:rPr>
          <w:sz w:val="28"/>
          <w:szCs w:val="28"/>
        </w:rPr>
        <w:t>ё</w:t>
      </w:r>
      <w:r w:rsidRPr="00302FD8">
        <w:rPr>
          <w:sz w:val="28"/>
          <w:szCs w:val="28"/>
        </w:rPr>
        <w:t>ту 2021 года составляет 5,2 тыс. человек. По оценке 2022 года и на плановый период 2023-2025 годы планируется 5,2 тыс. человек. Среднегодовая числе</w:t>
      </w:r>
      <w:r w:rsidRPr="00302FD8">
        <w:rPr>
          <w:sz w:val="28"/>
          <w:szCs w:val="28"/>
        </w:rPr>
        <w:t>н</w:t>
      </w:r>
      <w:r w:rsidRPr="00302FD8">
        <w:rPr>
          <w:sz w:val="28"/>
          <w:szCs w:val="28"/>
        </w:rPr>
        <w:t>ность занятых в экономике за анализируемый период стабильна и составляет 1,3 тысячи человек.</w:t>
      </w:r>
      <w:r w:rsidRPr="00302FD8">
        <w:rPr>
          <w:color w:val="FF0000"/>
          <w:sz w:val="28"/>
          <w:szCs w:val="28"/>
        </w:rPr>
        <w:t xml:space="preserve"> </w:t>
      </w:r>
      <w:r w:rsidRPr="00736BD3">
        <w:rPr>
          <w:sz w:val="28"/>
          <w:szCs w:val="28"/>
        </w:rPr>
        <w:t>Номинальная начисленная среднемесячная заработная пл</w:t>
      </w:r>
      <w:r w:rsidRPr="00736BD3">
        <w:rPr>
          <w:sz w:val="28"/>
          <w:szCs w:val="28"/>
        </w:rPr>
        <w:t>а</w:t>
      </w:r>
      <w:r w:rsidRPr="00736BD3">
        <w:rPr>
          <w:sz w:val="28"/>
          <w:szCs w:val="28"/>
        </w:rPr>
        <w:t xml:space="preserve">та по оценке  2022 года будет составлять  51906,0 рублей, прогноз 2023 года составляет </w:t>
      </w:r>
      <w:r w:rsidR="00736BD3" w:rsidRPr="00736BD3">
        <w:rPr>
          <w:sz w:val="28"/>
          <w:szCs w:val="28"/>
        </w:rPr>
        <w:t>54675,0</w:t>
      </w:r>
      <w:r w:rsidRPr="00736BD3">
        <w:rPr>
          <w:sz w:val="28"/>
          <w:szCs w:val="28"/>
        </w:rPr>
        <w:t xml:space="preserve"> рублей или на 1</w:t>
      </w:r>
      <w:r w:rsidR="00736BD3" w:rsidRPr="00736BD3">
        <w:rPr>
          <w:sz w:val="28"/>
          <w:szCs w:val="28"/>
        </w:rPr>
        <w:t>05</w:t>
      </w:r>
      <w:r w:rsidRPr="00736BD3">
        <w:rPr>
          <w:sz w:val="28"/>
          <w:szCs w:val="28"/>
        </w:rPr>
        <w:t>,</w:t>
      </w:r>
      <w:r w:rsidR="00736BD3" w:rsidRPr="00736BD3">
        <w:rPr>
          <w:sz w:val="28"/>
          <w:szCs w:val="28"/>
        </w:rPr>
        <w:t>3</w:t>
      </w:r>
      <w:r w:rsidRPr="00736BD3">
        <w:rPr>
          <w:sz w:val="28"/>
          <w:szCs w:val="28"/>
        </w:rPr>
        <w:t>% выше предыдущего периода, план</w:t>
      </w:r>
      <w:r w:rsidRPr="00736BD3">
        <w:rPr>
          <w:sz w:val="28"/>
          <w:szCs w:val="28"/>
        </w:rPr>
        <w:t>и</w:t>
      </w:r>
      <w:r w:rsidRPr="00736BD3">
        <w:rPr>
          <w:sz w:val="28"/>
          <w:szCs w:val="28"/>
        </w:rPr>
        <w:t xml:space="preserve">руется устойчивое повышение  заработной платы жителей поселения. Фонд </w:t>
      </w:r>
      <w:r w:rsidRPr="00736BD3">
        <w:rPr>
          <w:sz w:val="28"/>
          <w:szCs w:val="28"/>
        </w:rPr>
        <w:lastRenderedPageBreak/>
        <w:t>опл</w:t>
      </w:r>
      <w:r w:rsidRPr="00736BD3">
        <w:rPr>
          <w:sz w:val="28"/>
          <w:szCs w:val="28"/>
        </w:rPr>
        <w:t>а</w:t>
      </w:r>
      <w:r w:rsidRPr="00736BD3">
        <w:rPr>
          <w:sz w:val="28"/>
          <w:szCs w:val="28"/>
        </w:rPr>
        <w:t>ты труда прогнозируется исходя из норматива отчислений по НДФЛ в бюджет поселения от организаций, осуществляющих свою деятельность на территории поселения.</w:t>
      </w:r>
      <w:r w:rsidRPr="00302FD8">
        <w:rPr>
          <w:color w:val="FF0000"/>
          <w:sz w:val="28"/>
          <w:szCs w:val="28"/>
        </w:rPr>
        <w:t xml:space="preserve"> </w:t>
      </w:r>
      <w:r w:rsidRPr="00736BD3">
        <w:rPr>
          <w:sz w:val="28"/>
          <w:szCs w:val="28"/>
        </w:rPr>
        <w:t>Тринадцать процентов отчислений свидетельствуют о  фонде зар</w:t>
      </w:r>
      <w:r w:rsidRPr="00736BD3">
        <w:rPr>
          <w:sz w:val="28"/>
          <w:szCs w:val="28"/>
        </w:rPr>
        <w:t>а</w:t>
      </w:r>
      <w:r w:rsidR="00736BD3" w:rsidRPr="00736BD3">
        <w:rPr>
          <w:sz w:val="28"/>
          <w:szCs w:val="28"/>
        </w:rPr>
        <w:t>ботной платы в 2021</w:t>
      </w:r>
      <w:r w:rsidRPr="00736BD3">
        <w:rPr>
          <w:sz w:val="28"/>
          <w:szCs w:val="28"/>
        </w:rPr>
        <w:t xml:space="preserve"> году в размере </w:t>
      </w:r>
      <w:r w:rsidR="005C4228">
        <w:rPr>
          <w:sz w:val="28"/>
          <w:szCs w:val="28"/>
        </w:rPr>
        <w:t>268,7</w:t>
      </w:r>
      <w:r w:rsidRPr="00736BD3">
        <w:rPr>
          <w:sz w:val="28"/>
          <w:szCs w:val="28"/>
        </w:rPr>
        <w:t xml:space="preserve"> млн.рублей,  по оценке 20</w:t>
      </w:r>
      <w:r w:rsidR="00736BD3" w:rsidRPr="00736BD3">
        <w:rPr>
          <w:sz w:val="28"/>
          <w:szCs w:val="28"/>
        </w:rPr>
        <w:t>22</w:t>
      </w:r>
      <w:r w:rsidRPr="00736BD3">
        <w:rPr>
          <w:sz w:val="28"/>
          <w:szCs w:val="28"/>
        </w:rPr>
        <w:t xml:space="preserve"> года </w:t>
      </w:r>
      <w:r w:rsidR="005C4228">
        <w:rPr>
          <w:sz w:val="28"/>
          <w:szCs w:val="28"/>
        </w:rPr>
        <w:t>280,7</w:t>
      </w:r>
      <w:r w:rsidRPr="00736BD3">
        <w:rPr>
          <w:sz w:val="28"/>
          <w:szCs w:val="28"/>
        </w:rPr>
        <w:t xml:space="preserve"> млн.рублей, прогнозируемый показатель </w:t>
      </w:r>
      <w:r w:rsidR="00736BD3">
        <w:rPr>
          <w:sz w:val="28"/>
          <w:szCs w:val="28"/>
        </w:rPr>
        <w:t xml:space="preserve"> 2023-2025</w:t>
      </w:r>
      <w:r w:rsidRPr="00736BD3">
        <w:rPr>
          <w:sz w:val="28"/>
          <w:szCs w:val="28"/>
        </w:rPr>
        <w:t xml:space="preserve"> годов им</w:t>
      </w:r>
      <w:r w:rsidRPr="00736BD3">
        <w:rPr>
          <w:sz w:val="28"/>
          <w:szCs w:val="28"/>
        </w:rPr>
        <w:t>е</w:t>
      </w:r>
      <w:r w:rsidRPr="00736BD3">
        <w:rPr>
          <w:sz w:val="28"/>
          <w:szCs w:val="28"/>
        </w:rPr>
        <w:t xml:space="preserve">ет тенденцию к повышению.   </w:t>
      </w:r>
      <w:r w:rsidRPr="00736BD3">
        <w:rPr>
          <w:bCs/>
          <w:sz w:val="28"/>
          <w:szCs w:val="28"/>
        </w:rPr>
        <w:t>Основным  налогообразующим предприятием является АО агрофирма «Ю</w:t>
      </w:r>
      <w:r w:rsidRPr="00736BD3">
        <w:rPr>
          <w:bCs/>
          <w:sz w:val="28"/>
          <w:szCs w:val="28"/>
        </w:rPr>
        <w:t>ж</w:t>
      </w:r>
      <w:r w:rsidRPr="00736BD3">
        <w:rPr>
          <w:bCs/>
          <w:sz w:val="28"/>
          <w:szCs w:val="28"/>
        </w:rPr>
        <w:t>ная».</w:t>
      </w:r>
      <w:r w:rsidRPr="00302FD8">
        <w:rPr>
          <w:bCs/>
          <w:color w:val="FF0000"/>
          <w:sz w:val="28"/>
          <w:szCs w:val="28"/>
        </w:rPr>
        <w:t xml:space="preserve">  </w:t>
      </w:r>
    </w:p>
    <w:p w:rsidR="00302FD8" w:rsidRPr="00F25BC3" w:rsidRDefault="00302FD8" w:rsidP="00302FD8">
      <w:pPr>
        <w:pStyle w:val="a3"/>
        <w:spacing w:line="240" w:lineRule="auto"/>
        <w:ind w:firstLine="720"/>
        <w:rPr>
          <w:sz w:val="28"/>
          <w:szCs w:val="28"/>
        </w:rPr>
      </w:pPr>
      <w:r w:rsidRPr="00302FD8">
        <w:rPr>
          <w:color w:val="FF0000"/>
          <w:sz w:val="28"/>
          <w:szCs w:val="28"/>
        </w:rPr>
        <w:t xml:space="preserve"> </w:t>
      </w:r>
      <w:r w:rsidRPr="00F25BC3">
        <w:rPr>
          <w:sz w:val="28"/>
          <w:szCs w:val="28"/>
        </w:rPr>
        <w:t>Основная часть трудовых ресурсов Новотаманского сельского поселения используется ОАО агрофирмой «Южная» и организациями, осуществляющими  трудовую деятельность в  порту Тамань.  На учете в центре занятости насел</w:t>
      </w:r>
      <w:r w:rsidRPr="00F25BC3">
        <w:rPr>
          <w:sz w:val="28"/>
          <w:szCs w:val="28"/>
        </w:rPr>
        <w:t>е</w:t>
      </w:r>
      <w:r w:rsidRPr="00F25BC3">
        <w:rPr>
          <w:sz w:val="28"/>
          <w:szCs w:val="28"/>
        </w:rPr>
        <w:t xml:space="preserve">ния  </w:t>
      </w:r>
      <w:r w:rsidR="00F25BC3" w:rsidRPr="00F25BC3">
        <w:rPr>
          <w:sz w:val="28"/>
          <w:szCs w:val="28"/>
        </w:rPr>
        <w:t>в 2022</w:t>
      </w:r>
      <w:r w:rsidRPr="00F25BC3">
        <w:rPr>
          <w:sz w:val="28"/>
          <w:szCs w:val="28"/>
        </w:rPr>
        <w:t xml:space="preserve"> году зарегистрировано 4 безработных человека, уровень регистр</w:t>
      </w:r>
      <w:r w:rsidRPr="00F25BC3">
        <w:rPr>
          <w:sz w:val="28"/>
          <w:szCs w:val="28"/>
        </w:rPr>
        <w:t>и</w:t>
      </w:r>
      <w:r w:rsidRPr="00F25BC3">
        <w:rPr>
          <w:sz w:val="28"/>
          <w:szCs w:val="28"/>
        </w:rPr>
        <w:t>руемой безработицы 0,1%. Это не соответствует реальной картине занятости нас</w:t>
      </w:r>
      <w:r w:rsidRPr="00F25BC3">
        <w:rPr>
          <w:sz w:val="28"/>
          <w:szCs w:val="28"/>
        </w:rPr>
        <w:t>е</w:t>
      </w:r>
      <w:r w:rsidRPr="00F25BC3">
        <w:rPr>
          <w:sz w:val="28"/>
          <w:szCs w:val="28"/>
        </w:rPr>
        <w:t xml:space="preserve">ления. </w:t>
      </w:r>
    </w:p>
    <w:p w:rsidR="00302FD8" w:rsidRPr="00F25BC3" w:rsidRDefault="00302FD8" w:rsidP="00302FD8">
      <w:pPr>
        <w:pStyle w:val="a3"/>
        <w:spacing w:line="240" w:lineRule="auto"/>
        <w:ind w:firstLine="720"/>
        <w:rPr>
          <w:sz w:val="28"/>
          <w:szCs w:val="28"/>
        </w:rPr>
      </w:pPr>
      <w:r w:rsidRPr="00F25BC3">
        <w:rPr>
          <w:sz w:val="28"/>
          <w:szCs w:val="28"/>
        </w:rPr>
        <w:t>Прибыль и убыток предприятий на территории поселения за счёт де</w:t>
      </w:r>
      <w:r w:rsidRPr="00F25BC3">
        <w:rPr>
          <w:sz w:val="28"/>
          <w:szCs w:val="28"/>
        </w:rPr>
        <w:t>я</w:t>
      </w:r>
      <w:r w:rsidRPr="00F25BC3">
        <w:rPr>
          <w:sz w:val="28"/>
          <w:szCs w:val="28"/>
        </w:rPr>
        <w:t>тель</w:t>
      </w:r>
      <w:r w:rsidR="00F25BC3" w:rsidRPr="00F25BC3">
        <w:rPr>
          <w:sz w:val="28"/>
          <w:szCs w:val="28"/>
        </w:rPr>
        <w:t>ности гостиниц, торговых точек.</w:t>
      </w:r>
    </w:p>
    <w:p w:rsidR="00D4484D" w:rsidRDefault="00D4484D" w:rsidP="00302FD8">
      <w:pPr>
        <w:pStyle w:val="a3"/>
        <w:spacing w:line="240" w:lineRule="auto"/>
        <w:ind w:firstLine="720"/>
        <w:rPr>
          <w:b/>
          <w:sz w:val="28"/>
          <w:szCs w:val="28"/>
        </w:rPr>
      </w:pPr>
    </w:p>
    <w:p w:rsidR="00302FD8" w:rsidRPr="00302FD8" w:rsidRDefault="00302FD8" w:rsidP="00302FD8">
      <w:pPr>
        <w:pStyle w:val="a3"/>
        <w:spacing w:line="240" w:lineRule="auto"/>
        <w:ind w:firstLine="720"/>
        <w:rPr>
          <w:color w:val="FF0000"/>
          <w:sz w:val="28"/>
          <w:szCs w:val="28"/>
        </w:rPr>
      </w:pPr>
      <w:r w:rsidRPr="00F25BC3">
        <w:rPr>
          <w:b/>
          <w:sz w:val="28"/>
          <w:szCs w:val="28"/>
        </w:rPr>
        <w:t>Промышленная деятельность</w:t>
      </w:r>
      <w:r w:rsidRPr="00F25BC3">
        <w:rPr>
          <w:sz w:val="28"/>
          <w:szCs w:val="28"/>
        </w:rPr>
        <w:t xml:space="preserve"> отражает итоговую сумму касающуюся добычи полезных ископаемых, обрабатывающих производств, обеспечение </w:t>
      </w:r>
      <w:r w:rsidRPr="005C4228">
        <w:rPr>
          <w:sz w:val="28"/>
          <w:szCs w:val="28"/>
        </w:rPr>
        <w:t>электроэнергией, газом и паром, водоснабжение, водоотведение, сбор и утил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зация отходов. Показатель «Сбор и утилизация отходов» в 20</w:t>
      </w:r>
      <w:r w:rsidR="00F25BC3" w:rsidRPr="005C4228">
        <w:rPr>
          <w:sz w:val="28"/>
          <w:szCs w:val="28"/>
        </w:rPr>
        <w:t>21</w:t>
      </w:r>
      <w:r w:rsidRPr="005C4228">
        <w:rPr>
          <w:sz w:val="28"/>
          <w:szCs w:val="28"/>
        </w:rPr>
        <w:t xml:space="preserve"> году составил </w:t>
      </w:r>
      <w:r w:rsidR="00F25BC3" w:rsidRPr="005C4228">
        <w:rPr>
          <w:sz w:val="28"/>
          <w:szCs w:val="28"/>
        </w:rPr>
        <w:t>0,7</w:t>
      </w:r>
      <w:r w:rsidRPr="005C4228">
        <w:rPr>
          <w:sz w:val="28"/>
          <w:szCs w:val="28"/>
        </w:rPr>
        <w:t xml:space="preserve"> млн. рублей, по оценке 20</w:t>
      </w:r>
      <w:r w:rsidR="00F25BC3" w:rsidRPr="005C4228">
        <w:rPr>
          <w:sz w:val="28"/>
          <w:szCs w:val="28"/>
        </w:rPr>
        <w:t>22</w:t>
      </w:r>
      <w:r w:rsidRPr="005C4228">
        <w:rPr>
          <w:sz w:val="28"/>
          <w:szCs w:val="28"/>
        </w:rPr>
        <w:t xml:space="preserve"> года </w:t>
      </w:r>
      <w:r w:rsidR="00F25BC3" w:rsidRPr="005C4228">
        <w:rPr>
          <w:sz w:val="28"/>
          <w:szCs w:val="28"/>
        </w:rPr>
        <w:t>0,0</w:t>
      </w:r>
      <w:r w:rsidRPr="005C4228">
        <w:rPr>
          <w:sz w:val="28"/>
          <w:szCs w:val="28"/>
        </w:rPr>
        <w:t xml:space="preserve"> млн. рублей, про</w:t>
      </w:r>
      <w:r w:rsidR="00F25BC3" w:rsidRPr="005C4228">
        <w:rPr>
          <w:sz w:val="28"/>
          <w:szCs w:val="28"/>
        </w:rPr>
        <w:t>гноз 2023-2025</w:t>
      </w:r>
      <w:r w:rsidRPr="005C4228">
        <w:rPr>
          <w:sz w:val="28"/>
          <w:szCs w:val="28"/>
        </w:rPr>
        <w:t xml:space="preserve"> годов –</w:t>
      </w:r>
      <w:r w:rsidR="00F25BC3" w:rsidRPr="005C4228">
        <w:rPr>
          <w:sz w:val="28"/>
          <w:szCs w:val="28"/>
        </w:rPr>
        <w:t xml:space="preserve"> 0 млн.рублей</w:t>
      </w:r>
      <w:r w:rsidRPr="005C4228">
        <w:rPr>
          <w:sz w:val="28"/>
          <w:szCs w:val="28"/>
        </w:rPr>
        <w:t xml:space="preserve">.  </w:t>
      </w:r>
      <w:r w:rsidR="00D4484D">
        <w:rPr>
          <w:sz w:val="28"/>
          <w:szCs w:val="28"/>
        </w:rPr>
        <w:t xml:space="preserve">В </w:t>
      </w:r>
      <w:r w:rsidR="00D4484D" w:rsidRPr="00A265E8">
        <w:rPr>
          <w:sz w:val="28"/>
          <w:szCs w:val="28"/>
        </w:rPr>
        <w:t xml:space="preserve">связи с переходом </w:t>
      </w:r>
      <w:r w:rsidR="00D4484D" w:rsidRPr="00A265E8">
        <w:rPr>
          <w:sz w:val="28"/>
          <w:szCs w:val="28"/>
          <w:shd w:val="clear" w:color="auto" w:fill="FFFFFF"/>
        </w:rPr>
        <w:t>Краснодарского края на новый принцип обращения с ТКО и началом работы региональных операторов по сбору и в</w:t>
      </w:r>
      <w:r w:rsidR="00D4484D" w:rsidRPr="00A265E8">
        <w:rPr>
          <w:sz w:val="28"/>
          <w:szCs w:val="28"/>
          <w:shd w:val="clear" w:color="auto" w:fill="FFFFFF"/>
        </w:rPr>
        <w:t>ы</w:t>
      </w:r>
      <w:r w:rsidR="00D4484D" w:rsidRPr="00A265E8">
        <w:rPr>
          <w:sz w:val="28"/>
          <w:szCs w:val="28"/>
          <w:shd w:val="clear" w:color="auto" w:fill="FFFFFF"/>
        </w:rPr>
        <w:t xml:space="preserve">возу и утилизации ТКО, МУП «ЖКХ – </w:t>
      </w:r>
      <w:r w:rsidR="00D4484D">
        <w:rPr>
          <w:sz w:val="28"/>
          <w:szCs w:val="28"/>
          <w:shd w:val="clear" w:color="auto" w:fill="FFFFFF"/>
        </w:rPr>
        <w:t>Бугаз</w:t>
      </w:r>
      <w:r w:rsidR="00D4484D" w:rsidRPr="00A265E8">
        <w:rPr>
          <w:sz w:val="28"/>
          <w:szCs w:val="28"/>
          <w:shd w:val="clear" w:color="auto" w:fill="FFFFFF"/>
        </w:rPr>
        <w:t>» с 202</w:t>
      </w:r>
      <w:r w:rsidR="00D4484D">
        <w:rPr>
          <w:sz w:val="28"/>
          <w:szCs w:val="28"/>
          <w:shd w:val="clear" w:color="auto" w:fill="FFFFFF"/>
        </w:rPr>
        <w:t xml:space="preserve">1 года не осуществляет </w:t>
      </w:r>
      <w:r w:rsidR="00D4484D" w:rsidRPr="00A265E8">
        <w:rPr>
          <w:sz w:val="28"/>
          <w:szCs w:val="28"/>
          <w:shd w:val="clear" w:color="auto" w:fill="FFFFFF"/>
        </w:rPr>
        <w:t>ук</w:t>
      </w:r>
      <w:r w:rsidR="00D4484D" w:rsidRPr="00A265E8">
        <w:rPr>
          <w:sz w:val="28"/>
          <w:szCs w:val="28"/>
          <w:shd w:val="clear" w:color="auto" w:fill="FFFFFF"/>
        </w:rPr>
        <w:t>а</w:t>
      </w:r>
      <w:r w:rsidR="00D4484D" w:rsidRPr="00A265E8">
        <w:rPr>
          <w:sz w:val="28"/>
          <w:szCs w:val="28"/>
          <w:shd w:val="clear" w:color="auto" w:fill="FFFFFF"/>
        </w:rPr>
        <w:t>занную деятельность.</w:t>
      </w:r>
    </w:p>
    <w:p w:rsidR="00302FD8" w:rsidRPr="005C4228" w:rsidRDefault="00302FD8" w:rsidP="00302FD8">
      <w:pPr>
        <w:jc w:val="both"/>
      </w:pPr>
    </w:p>
    <w:p w:rsidR="00302FD8" w:rsidRPr="00302FD8" w:rsidRDefault="00302FD8" w:rsidP="00302FD8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FF0000"/>
          <w:sz w:val="15"/>
          <w:szCs w:val="15"/>
        </w:rPr>
      </w:pPr>
      <w:r w:rsidRPr="005C4228">
        <w:rPr>
          <w:b/>
          <w:sz w:val="28"/>
          <w:szCs w:val="28"/>
        </w:rPr>
        <w:t>Производство основных видов сельскохозяйственной продукции</w:t>
      </w:r>
      <w:r w:rsidRPr="005C4228">
        <w:tab/>
        <w:t xml:space="preserve">  </w:t>
      </w:r>
      <w:r w:rsidRPr="005C4228">
        <w:rPr>
          <w:sz w:val="28"/>
          <w:szCs w:val="28"/>
        </w:rPr>
        <w:t>на территории поселения развитием  сельского хозяйства занимаются  сельхозо</w:t>
      </w:r>
      <w:r w:rsidRPr="005C4228">
        <w:rPr>
          <w:sz w:val="28"/>
          <w:szCs w:val="28"/>
        </w:rPr>
        <w:t>р</w:t>
      </w:r>
      <w:r w:rsidRPr="005C4228">
        <w:rPr>
          <w:sz w:val="28"/>
          <w:szCs w:val="28"/>
        </w:rPr>
        <w:t>ганизации, крестьянско-фермерские  хозяйства,  индивидуальные предприн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матели, личные подсобные хозяйства.</w:t>
      </w:r>
      <w:r w:rsidRPr="00302FD8">
        <w:rPr>
          <w:color w:val="FF0000"/>
          <w:sz w:val="28"/>
          <w:szCs w:val="28"/>
        </w:rPr>
        <w:t xml:space="preserve">  </w:t>
      </w:r>
    </w:p>
    <w:p w:rsidR="00302FD8" w:rsidRDefault="00302FD8" w:rsidP="00302FD8">
      <w:pPr>
        <w:pStyle w:val="ab"/>
        <w:shd w:val="clear" w:color="auto" w:fill="F9F9FC"/>
        <w:jc w:val="both"/>
        <w:rPr>
          <w:sz w:val="28"/>
          <w:szCs w:val="28"/>
        </w:rPr>
      </w:pPr>
      <w:r w:rsidRPr="00302FD8">
        <w:rPr>
          <w:color w:val="FF0000"/>
          <w:sz w:val="28"/>
          <w:szCs w:val="28"/>
        </w:rPr>
        <w:t xml:space="preserve">    </w:t>
      </w:r>
      <w:r w:rsidRPr="005C4228">
        <w:rPr>
          <w:sz w:val="28"/>
          <w:szCs w:val="28"/>
        </w:rPr>
        <w:t>Важнейшей задачей в области сельского хозяйства является ускорение те</w:t>
      </w:r>
      <w:r w:rsidRPr="005C4228">
        <w:rPr>
          <w:sz w:val="28"/>
          <w:szCs w:val="28"/>
        </w:rPr>
        <w:t>м</w:t>
      </w:r>
      <w:r w:rsidRPr="005C4228">
        <w:rPr>
          <w:sz w:val="28"/>
          <w:szCs w:val="28"/>
        </w:rPr>
        <w:t>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395E24" w:rsidRPr="00395E24" w:rsidRDefault="00395E24" w:rsidP="00395E24">
      <w:pPr>
        <w:ind w:firstLine="539"/>
        <w:jc w:val="both"/>
        <w:rPr>
          <w:sz w:val="28"/>
          <w:szCs w:val="28"/>
        </w:rPr>
      </w:pPr>
      <w:r w:rsidRPr="00395E24">
        <w:rPr>
          <w:sz w:val="28"/>
          <w:szCs w:val="28"/>
        </w:rPr>
        <w:t>Такие показатели как производство основных видов сельскохозяйственной продукции получены из статистических данных и данных, предоставленных непосредственно предприятиями.</w:t>
      </w:r>
    </w:p>
    <w:p w:rsidR="00395E24" w:rsidRPr="00395E24" w:rsidRDefault="00395E24" w:rsidP="00395E24">
      <w:pPr>
        <w:ind w:firstLine="851"/>
        <w:jc w:val="both"/>
        <w:rPr>
          <w:sz w:val="28"/>
          <w:szCs w:val="28"/>
        </w:rPr>
      </w:pPr>
      <w:r w:rsidRPr="00395E24">
        <w:rPr>
          <w:sz w:val="28"/>
          <w:szCs w:val="28"/>
        </w:rPr>
        <w:t>В Новотаманском сельском поселении в 2022 году числится 1793 ли</w:t>
      </w:r>
      <w:r w:rsidRPr="00395E24">
        <w:rPr>
          <w:sz w:val="28"/>
          <w:szCs w:val="28"/>
        </w:rPr>
        <w:t>ч</w:t>
      </w:r>
      <w:r w:rsidRPr="00395E24">
        <w:rPr>
          <w:sz w:val="28"/>
          <w:szCs w:val="28"/>
        </w:rPr>
        <w:t>ных подсобных хозяйства населения, в 2021 году 1787 хозяйств. До 2025 года прогнозируется незначительный рост ЛПХ. Корректировка показателей на пл</w:t>
      </w:r>
      <w:r w:rsidRPr="00395E24">
        <w:rPr>
          <w:sz w:val="28"/>
          <w:szCs w:val="28"/>
        </w:rPr>
        <w:t>а</w:t>
      </w:r>
      <w:r w:rsidRPr="00395E24">
        <w:rPr>
          <w:sz w:val="28"/>
          <w:szCs w:val="28"/>
        </w:rPr>
        <w:t>новый период осуществляе</w:t>
      </w:r>
      <w:r w:rsidRPr="00395E24">
        <w:rPr>
          <w:sz w:val="28"/>
          <w:szCs w:val="28"/>
        </w:rPr>
        <w:t>т</w:t>
      </w:r>
      <w:r w:rsidRPr="00395E24">
        <w:rPr>
          <w:sz w:val="28"/>
          <w:szCs w:val="28"/>
        </w:rPr>
        <w:t>ся в связи с ростом отчетных данных за 2021 год.</w:t>
      </w:r>
    </w:p>
    <w:p w:rsidR="00395E24" w:rsidRPr="00C705DC" w:rsidRDefault="00395E24" w:rsidP="00395E24">
      <w:pPr>
        <w:ind w:firstLine="851"/>
        <w:jc w:val="both"/>
        <w:rPr>
          <w:sz w:val="28"/>
          <w:szCs w:val="28"/>
        </w:rPr>
      </w:pPr>
      <w:r w:rsidRPr="00C705DC">
        <w:rPr>
          <w:sz w:val="28"/>
          <w:szCs w:val="28"/>
        </w:rPr>
        <w:t>Площадь виноградников на землях поселения составляет 2</w:t>
      </w:r>
      <w:r w:rsidR="00C705DC" w:rsidRPr="00C705DC">
        <w:rPr>
          <w:sz w:val="28"/>
          <w:szCs w:val="28"/>
        </w:rPr>
        <w:t>69</w:t>
      </w:r>
      <w:r w:rsidRPr="00C705DC">
        <w:rPr>
          <w:sz w:val="28"/>
          <w:szCs w:val="28"/>
        </w:rPr>
        <w:t>4</w:t>
      </w:r>
      <w:r w:rsidR="00C705DC">
        <w:rPr>
          <w:sz w:val="28"/>
          <w:szCs w:val="28"/>
        </w:rPr>
        <w:t xml:space="preserve"> га</w:t>
      </w:r>
      <w:r w:rsidRPr="00C705DC">
        <w:rPr>
          <w:sz w:val="28"/>
          <w:szCs w:val="28"/>
        </w:rPr>
        <w:t xml:space="preserve"> в 202</w:t>
      </w:r>
      <w:r w:rsidR="00C705DC" w:rsidRPr="00C705DC">
        <w:rPr>
          <w:sz w:val="28"/>
          <w:szCs w:val="28"/>
        </w:rPr>
        <w:t>2</w:t>
      </w:r>
      <w:r w:rsidRPr="00C705DC">
        <w:rPr>
          <w:sz w:val="28"/>
          <w:szCs w:val="28"/>
        </w:rPr>
        <w:t xml:space="preserve"> го</w:t>
      </w:r>
      <w:r w:rsidR="00C705DC" w:rsidRPr="00C705DC">
        <w:rPr>
          <w:sz w:val="28"/>
          <w:szCs w:val="28"/>
        </w:rPr>
        <w:t xml:space="preserve">ду и </w:t>
      </w:r>
      <w:r w:rsidRPr="00C705DC">
        <w:rPr>
          <w:sz w:val="28"/>
          <w:szCs w:val="28"/>
        </w:rPr>
        <w:t xml:space="preserve">к 2025 году </w:t>
      </w:r>
      <w:r w:rsidR="00C705DC" w:rsidRPr="00C705DC">
        <w:rPr>
          <w:sz w:val="28"/>
          <w:szCs w:val="28"/>
        </w:rPr>
        <w:t>площадь виноградников не изменится</w:t>
      </w:r>
      <w:r w:rsidRPr="00C705DC">
        <w:rPr>
          <w:sz w:val="28"/>
          <w:szCs w:val="28"/>
        </w:rPr>
        <w:t xml:space="preserve">. </w:t>
      </w:r>
    </w:p>
    <w:p w:rsidR="00395E24" w:rsidRPr="00C705DC" w:rsidRDefault="00395E24" w:rsidP="00395E24">
      <w:pPr>
        <w:ind w:firstLine="851"/>
        <w:jc w:val="both"/>
        <w:rPr>
          <w:sz w:val="28"/>
          <w:szCs w:val="28"/>
        </w:rPr>
      </w:pPr>
      <w:r w:rsidRPr="00C705DC">
        <w:rPr>
          <w:sz w:val="28"/>
          <w:szCs w:val="28"/>
        </w:rPr>
        <w:lastRenderedPageBreak/>
        <w:t>Поголовье крупного рогатого скота в 20</w:t>
      </w:r>
      <w:r w:rsidR="00C705DC" w:rsidRPr="00C705DC">
        <w:rPr>
          <w:sz w:val="28"/>
          <w:szCs w:val="28"/>
        </w:rPr>
        <w:t>22</w:t>
      </w:r>
      <w:r w:rsidRPr="00C705DC">
        <w:rPr>
          <w:sz w:val="28"/>
          <w:szCs w:val="28"/>
        </w:rPr>
        <w:t xml:space="preserve"> году составит </w:t>
      </w:r>
      <w:r w:rsidR="00C705DC" w:rsidRPr="00C705DC">
        <w:rPr>
          <w:sz w:val="28"/>
          <w:szCs w:val="28"/>
        </w:rPr>
        <w:t>302</w:t>
      </w:r>
      <w:r w:rsidRPr="00C705DC">
        <w:rPr>
          <w:sz w:val="28"/>
          <w:szCs w:val="28"/>
        </w:rPr>
        <w:t xml:space="preserve"> голов</w:t>
      </w:r>
      <w:r w:rsidR="00C705DC" w:rsidRPr="00C705DC">
        <w:rPr>
          <w:sz w:val="28"/>
          <w:szCs w:val="28"/>
        </w:rPr>
        <w:t xml:space="preserve">ы. </w:t>
      </w:r>
      <w:r w:rsidRPr="00C705DC">
        <w:rPr>
          <w:sz w:val="28"/>
          <w:szCs w:val="28"/>
        </w:rPr>
        <w:t>К 202</w:t>
      </w:r>
      <w:r w:rsidR="00C705DC" w:rsidRPr="00C705DC">
        <w:rPr>
          <w:sz w:val="28"/>
          <w:szCs w:val="28"/>
        </w:rPr>
        <w:t>5</w:t>
      </w:r>
      <w:r w:rsidRPr="00C705DC">
        <w:rPr>
          <w:sz w:val="28"/>
          <w:szCs w:val="28"/>
        </w:rPr>
        <w:t xml:space="preserve"> году </w:t>
      </w:r>
      <w:r w:rsidR="00C705DC" w:rsidRPr="00C705DC">
        <w:rPr>
          <w:sz w:val="28"/>
          <w:szCs w:val="28"/>
        </w:rPr>
        <w:t>увелич</w:t>
      </w:r>
      <w:r w:rsidR="00C705DC" w:rsidRPr="00C705DC">
        <w:rPr>
          <w:sz w:val="28"/>
          <w:szCs w:val="28"/>
        </w:rPr>
        <w:t>е</w:t>
      </w:r>
      <w:r w:rsidR="00C705DC" w:rsidRPr="00C705DC">
        <w:rPr>
          <w:sz w:val="28"/>
          <w:szCs w:val="28"/>
        </w:rPr>
        <w:t>ние поголовья КРС не ожидается</w:t>
      </w:r>
      <w:r w:rsidRPr="00C705DC">
        <w:rPr>
          <w:sz w:val="28"/>
          <w:szCs w:val="28"/>
        </w:rPr>
        <w:t>.</w:t>
      </w:r>
    </w:p>
    <w:p w:rsidR="00395E24" w:rsidRDefault="00395E24" w:rsidP="00395E24">
      <w:pPr>
        <w:ind w:firstLine="851"/>
        <w:jc w:val="both"/>
        <w:rPr>
          <w:sz w:val="28"/>
          <w:szCs w:val="28"/>
        </w:rPr>
      </w:pPr>
      <w:r w:rsidRPr="00C705DC">
        <w:rPr>
          <w:sz w:val="28"/>
          <w:szCs w:val="28"/>
        </w:rPr>
        <w:t xml:space="preserve">Из общего поголовья коровы составляют </w:t>
      </w:r>
      <w:r w:rsidR="00C705DC" w:rsidRPr="00C705DC">
        <w:rPr>
          <w:sz w:val="28"/>
          <w:szCs w:val="28"/>
        </w:rPr>
        <w:t>184</w:t>
      </w:r>
      <w:r w:rsidRPr="00C705DC">
        <w:rPr>
          <w:sz w:val="28"/>
          <w:szCs w:val="28"/>
        </w:rPr>
        <w:t xml:space="preserve"> голов</w:t>
      </w:r>
      <w:r w:rsidR="00C705DC" w:rsidRPr="00C705DC">
        <w:rPr>
          <w:sz w:val="28"/>
          <w:szCs w:val="28"/>
        </w:rPr>
        <w:t>ы</w:t>
      </w:r>
      <w:r w:rsidRPr="00C705DC">
        <w:rPr>
          <w:sz w:val="28"/>
          <w:szCs w:val="28"/>
        </w:rPr>
        <w:t xml:space="preserve"> в 20</w:t>
      </w:r>
      <w:r w:rsidR="00C705DC" w:rsidRPr="00C705DC">
        <w:rPr>
          <w:sz w:val="28"/>
          <w:szCs w:val="28"/>
        </w:rPr>
        <w:t>21</w:t>
      </w:r>
      <w:r w:rsidRPr="00C705DC">
        <w:rPr>
          <w:sz w:val="28"/>
          <w:szCs w:val="28"/>
        </w:rPr>
        <w:t xml:space="preserve"> году и </w:t>
      </w:r>
      <w:r w:rsidR="00C705DC" w:rsidRPr="00C705DC">
        <w:rPr>
          <w:sz w:val="28"/>
          <w:szCs w:val="28"/>
        </w:rPr>
        <w:t xml:space="preserve">186 </w:t>
      </w:r>
      <w:r w:rsidRPr="00C705DC">
        <w:rPr>
          <w:sz w:val="28"/>
          <w:szCs w:val="28"/>
        </w:rPr>
        <w:t>голов в 20</w:t>
      </w:r>
      <w:r w:rsidR="00C705DC" w:rsidRPr="00C705DC">
        <w:rPr>
          <w:sz w:val="28"/>
          <w:szCs w:val="28"/>
        </w:rPr>
        <w:t>22</w:t>
      </w:r>
      <w:r w:rsidRPr="00C705DC">
        <w:rPr>
          <w:sz w:val="28"/>
          <w:szCs w:val="28"/>
        </w:rPr>
        <w:t xml:space="preserve"> году, </w:t>
      </w:r>
      <w:r w:rsidR="00C705DC" w:rsidRPr="00C705DC">
        <w:rPr>
          <w:sz w:val="28"/>
          <w:szCs w:val="28"/>
        </w:rPr>
        <w:t>рост</w:t>
      </w:r>
      <w:r w:rsidRPr="00C705DC">
        <w:rPr>
          <w:sz w:val="28"/>
          <w:szCs w:val="28"/>
        </w:rPr>
        <w:t xml:space="preserve"> на </w:t>
      </w:r>
      <w:r w:rsidR="00C705DC" w:rsidRPr="00C705DC">
        <w:rPr>
          <w:sz w:val="28"/>
          <w:szCs w:val="28"/>
        </w:rPr>
        <w:t>1,1</w:t>
      </w:r>
      <w:r w:rsidRPr="00C705DC">
        <w:rPr>
          <w:sz w:val="28"/>
          <w:szCs w:val="28"/>
        </w:rPr>
        <w:t>%. К 202</w:t>
      </w:r>
      <w:r w:rsidR="00C705DC" w:rsidRPr="00C705DC">
        <w:rPr>
          <w:sz w:val="28"/>
          <w:szCs w:val="28"/>
        </w:rPr>
        <w:t>5</w:t>
      </w:r>
      <w:r w:rsidRPr="00C705DC">
        <w:rPr>
          <w:sz w:val="28"/>
          <w:szCs w:val="28"/>
        </w:rPr>
        <w:t xml:space="preserve"> году рост поголовья коров </w:t>
      </w:r>
      <w:r w:rsidR="00C705DC" w:rsidRPr="00C705DC">
        <w:rPr>
          <w:sz w:val="28"/>
          <w:szCs w:val="28"/>
        </w:rPr>
        <w:t>не ожидае</w:t>
      </w:r>
      <w:r w:rsidR="00C705DC" w:rsidRPr="00C705DC">
        <w:rPr>
          <w:sz w:val="28"/>
          <w:szCs w:val="28"/>
        </w:rPr>
        <w:t>т</w:t>
      </w:r>
      <w:r w:rsidR="00C705DC" w:rsidRPr="00C705DC">
        <w:rPr>
          <w:sz w:val="28"/>
          <w:szCs w:val="28"/>
        </w:rPr>
        <w:t>ся</w:t>
      </w:r>
      <w:r w:rsidRPr="00C705DC">
        <w:rPr>
          <w:sz w:val="28"/>
          <w:szCs w:val="28"/>
        </w:rPr>
        <w:t>.</w:t>
      </w:r>
    </w:p>
    <w:p w:rsidR="00C705DC" w:rsidRPr="00C705DC" w:rsidRDefault="00C705DC" w:rsidP="00CD566D">
      <w:pPr>
        <w:ind w:firstLine="851"/>
        <w:jc w:val="both"/>
        <w:rPr>
          <w:sz w:val="28"/>
          <w:szCs w:val="28"/>
        </w:rPr>
      </w:pPr>
      <w:r w:rsidRPr="00C705DC">
        <w:rPr>
          <w:sz w:val="28"/>
          <w:szCs w:val="28"/>
        </w:rPr>
        <w:t xml:space="preserve">Поголовье </w:t>
      </w:r>
      <w:r>
        <w:rPr>
          <w:sz w:val="28"/>
          <w:szCs w:val="28"/>
        </w:rPr>
        <w:t>овец и коз</w:t>
      </w:r>
      <w:r w:rsidRPr="00C705DC">
        <w:rPr>
          <w:sz w:val="28"/>
          <w:szCs w:val="28"/>
        </w:rPr>
        <w:t xml:space="preserve"> в 2022 году составит </w:t>
      </w:r>
      <w:r w:rsidR="00CD566D">
        <w:rPr>
          <w:sz w:val="28"/>
          <w:szCs w:val="28"/>
        </w:rPr>
        <w:t>547</w:t>
      </w:r>
      <w:r w:rsidRPr="00C705DC">
        <w:rPr>
          <w:sz w:val="28"/>
          <w:szCs w:val="28"/>
        </w:rPr>
        <w:t xml:space="preserve"> голов</w:t>
      </w:r>
      <w:r w:rsidR="00CD566D">
        <w:rPr>
          <w:sz w:val="28"/>
          <w:szCs w:val="28"/>
        </w:rPr>
        <w:t>, что составляет 79,4% от поголовья 2021 года.</w:t>
      </w:r>
      <w:r w:rsidRPr="00C705DC">
        <w:rPr>
          <w:sz w:val="28"/>
          <w:szCs w:val="28"/>
        </w:rPr>
        <w:t xml:space="preserve"> К 2025 году увеличение поголовья не ож</w:t>
      </w:r>
      <w:r w:rsidRPr="00C705DC">
        <w:rPr>
          <w:sz w:val="28"/>
          <w:szCs w:val="28"/>
        </w:rPr>
        <w:t>и</w:t>
      </w:r>
      <w:r w:rsidRPr="00C705DC">
        <w:rPr>
          <w:sz w:val="28"/>
          <w:szCs w:val="28"/>
        </w:rPr>
        <w:t>дается.</w:t>
      </w:r>
    </w:p>
    <w:p w:rsidR="00395E24" w:rsidRPr="005C4228" w:rsidRDefault="00395E24" w:rsidP="00302FD8">
      <w:pPr>
        <w:pStyle w:val="ab"/>
        <w:shd w:val="clear" w:color="auto" w:fill="F9F9FC"/>
        <w:jc w:val="both"/>
        <w:rPr>
          <w:sz w:val="15"/>
          <w:szCs w:val="15"/>
        </w:rPr>
      </w:pPr>
    </w:p>
    <w:p w:rsidR="00302FD8" w:rsidRDefault="00302FD8" w:rsidP="00302FD8">
      <w:pPr>
        <w:pStyle w:val="ab"/>
        <w:shd w:val="clear" w:color="auto" w:fill="F9F9FC"/>
        <w:jc w:val="both"/>
        <w:rPr>
          <w:sz w:val="28"/>
          <w:szCs w:val="28"/>
          <w:shd w:val="clear" w:color="auto" w:fill="FFFFFF"/>
        </w:rPr>
      </w:pPr>
      <w:r w:rsidRPr="005C4228">
        <w:rPr>
          <w:sz w:val="28"/>
          <w:szCs w:val="28"/>
        </w:rPr>
        <w:t xml:space="preserve">    Развитие потребительского рынка способствует созданию условий для разв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тия торговли, предприятий общественного питания, разветвление структуры платных услуг для населения Новотаманского сельского поселения Темрюкск</w:t>
      </w:r>
      <w:r w:rsidRPr="005C4228">
        <w:rPr>
          <w:sz w:val="28"/>
          <w:szCs w:val="28"/>
        </w:rPr>
        <w:t>о</w:t>
      </w:r>
      <w:r w:rsidRPr="005C4228">
        <w:rPr>
          <w:sz w:val="28"/>
          <w:szCs w:val="28"/>
        </w:rPr>
        <w:t xml:space="preserve">го района. Оборот розничной торговли, общественного питания, объём платных услуг населению по оценке </w:t>
      </w:r>
      <w:r w:rsidR="005C4228" w:rsidRPr="005C4228">
        <w:rPr>
          <w:sz w:val="28"/>
          <w:szCs w:val="28"/>
        </w:rPr>
        <w:t xml:space="preserve"> 2022</w:t>
      </w:r>
      <w:r w:rsidRPr="005C4228">
        <w:rPr>
          <w:sz w:val="28"/>
          <w:szCs w:val="28"/>
        </w:rPr>
        <w:t xml:space="preserve"> года по с</w:t>
      </w:r>
      <w:r w:rsidR="005C4228" w:rsidRPr="005C4228">
        <w:rPr>
          <w:sz w:val="28"/>
          <w:szCs w:val="28"/>
        </w:rPr>
        <w:t xml:space="preserve">равнению к 2021 </w:t>
      </w:r>
      <w:r w:rsidRPr="005C4228">
        <w:rPr>
          <w:sz w:val="28"/>
          <w:szCs w:val="28"/>
        </w:rPr>
        <w:t>году и в прогноз</w:t>
      </w:r>
      <w:r w:rsidRPr="005C4228">
        <w:rPr>
          <w:sz w:val="28"/>
          <w:szCs w:val="28"/>
        </w:rPr>
        <w:t>и</w:t>
      </w:r>
      <w:r w:rsidRPr="005C4228">
        <w:rPr>
          <w:sz w:val="28"/>
          <w:szCs w:val="28"/>
        </w:rPr>
        <w:t>руемом  20</w:t>
      </w:r>
      <w:r w:rsidR="005C4228" w:rsidRPr="005C4228">
        <w:rPr>
          <w:sz w:val="28"/>
          <w:szCs w:val="28"/>
        </w:rPr>
        <w:t xml:space="preserve">23 </w:t>
      </w:r>
      <w:r w:rsidRPr="005C4228">
        <w:rPr>
          <w:sz w:val="28"/>
          <w:szCs w:val="28"/>
        </w:rPr>
        <w:t>году имеют устойчивую тенденцию к повышению</w:t>
      </w:r>
      <w:r w:rsidRPr="005C4228">
        <w:t>.</w:t>
      </w:r>
      <w:r w:rsidRPr="005C4228">
        <w:rPr>
          <w:rFonts w:ascii="Trebuchet MS" w:hAnsi="Trebuchet MS"/>
        </w:rPr>
        <w:t>  </w:t>
      </w:r>
      <w:r w:rsidRPr="005C4228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</w:t>
      </w:r>
      <w:r w:rsidRPr="005C4228">
        <w:rPr>
          <w:sz w:val="28"/>
          <w:szCs w:val="28"/>
          <w:shd w:val="clear" w:color="auto" w:fill="FFFFFF"/>
        </w:rPr>
        <w:t>и</w:t>
      </w:r>
      <w:r w:rsidRPr="005C4228">
        <w:rPr>
          <w:sz w:val="28"/>
          <w:szCs w:val="28"/>
          <w:shd w:val="clear" w:color="auto" w:fill="FFFFFF"/>
        </w:rPr>
        <w:t>тельского спроса населения, основанный на увеличении денежных доходов; приход на рынок крупных российских операторов и представителей междун</w:t>
      </w:r>
      <w:r w:rsidRPr="005C4228">
        <w:rPr>
          <w:sz w:val="28"/>
          <w:szCs w:val="28"/>
          <w:shd w:val="clear" w:color="auto" w:fill="FFFFFF"/>
        </w:rPr>
        <w:t>а</w:t>
      </w:r>
      <w:r w:rsidRPr="005C4228">
        <w:rPr>
          <w:sz w:val="28"/>
          <w:szCs w:val="28"/>
          <w:shd w:val="clear" w:color="auto" w:fill="FFFFFF"/>
        </w:rPr>
        <w:t>родных торговых сетей.</w:t>
      </w:r>
    </w:p>
    <w:p w:rsidR="00CD566D" w:rsidRPr="00CD566D" w:rsidRDefault="00CD566D" w:rsidP="00CD566D">
      <w:pPr>
        <w:ind w:firstLine="851"/>
        <w:jc w:val="both"/>
        <w:rPr>
          <w:sz w:val="28"/>
          <w:szCs w:val="28"/>
        </w:rPr>
      </w:pPr>
      <w:r w:rsidRPr="00CD566D">
        <w:rPr>
          <w:sz w:val="28"/>
          <w:szCs w:val="28"/>
        </w:rPr>
        <w:t>Оборот розничной торговли в 2022 году составит 647,8 млн. рублей к  2021 году (583,4 млн.руб.) рост 11% . Оборот розничной торговли  на 2023 год и плановый период 2024-2025 годов прогнозируется с ростом 7,8-11,3% и с</w:t>
      </w:r>
      <w:r w:rsidRPr="00CD566D">
        <w:rPr>
          <w:sz w:val="28"/>
          <w:szCs w:val="28"/>
        </w:rPr>
        <w:t>о</w:t>
      </w:r>
      <w:r w:rsidRPr="00CD566D">
        <w:rPr>
          <w:sz w:val="28"/>
          <w:szCs w:val="28"/>
        </w:rPr>
        <w:t>ставит к 2025 году 845,0 млн. руб. Рост оборота прогнозируется за счет расш</w:t>
      </w:r>
      <w:r w:rsidRPr="00CD566D">
        <w:rPr>
          <w:sz w:val="28"/>
          <w:szCs w:val="28"/>
        </w:rPr>
        <w:t>и</w:t>
      </w:r>
      <w:r w:rsidRPr="00CD566D">
        <w:rPr>
          <w:sz w:val="28"/>
          <w:szCs w:val="28"/>
        </w:rPr>
        <w:t>рения торговой сети, ассортимента товаров и повышения покупательской сп</w:t>
      </w:r>
      <w:r w:rsidRPr="00CD566D">
        <w:rPr>
          <w:sz w:val="28"/>
          <w:szCs w:val="28"/>
        </w:rPr>
        <w:t>о</w:t>
      </w:r>
      <w:r w:rsidRPr="00CD566D">
        <w:rPr>
          <w:sz w:val="28"/>
          <w:szCs w:val="28"/>
        </w:rPr>
        <w:t>собности н</w:t>
      </w:r>
      <w:r w:rsidRPr="00CD566D">
        <w:rPr>
          <w:sz w:val="28"/>
          <w:szCs w:val="28"/>
        </w:rPr>
        <w:t>а</w:t>
      </w:r>
      <w:r w:rsidRPr="00CD566D">
        <w:rPr>
          <w:sz w:val="28"/>
          <w:szCs w:val="28"/>
        </w:rPr>
        <w:t>селения.</w:t>
      </w:r>
    </w:p>
    <w:p w:rsidR="00CD566D" w:rsidRPr="00CD566D" w:rsidRDefault="00CD566D" w:rsidP="00CD566D">
      <w:pPr>
        <w:ind w:firstLine="851"/>
        <w:jc w:val="both"/>
        <w:rPr>
          <w:color w:val="FF0000"/>
          <w:sz w:val="28"/>
          <w:szCs w:val="28"/>
        </w:rPr>
      </w:pPr>
      <w:r w:rsidRPr="00CD566D">
        <w:rPr>
          <w:sz w:val="28"/>
          <w:szCs w:val="28"/>
        </w:rPr>
        <w:t>Оборот общественного питания включает стоимость проданной насел</w:t>
      </w:r>
      <w:r w:rsidRPr="00CD566D">
        <w:rPr>
          <w:sz w:val="28"/>
          <w:szCs w:val="28"/>
        </w:rPr>
        <w:t>е</w:t>
      </w:r>
      <w:r w:rsidRPr="00CD566D">
        <w:rPr>
          <w:sz w:val="28"/>
          <w:szCs w:val="28"/>
        </w:rPr>
        <w:t>нию собственной кулинарной продукции, а также покупных товаров для орг</w:t>
      </w:r>
      <w:r w:rsidRPr="00CD566D">
        <w:rPr>
          <w:sz w:val="28"/>
          <w:szCs w:val="28"/>
        </w:rPr>
        <w:t>а</w:t>
      </w:r>
      <w:r w:rsidRPr="00CD566D">
        <w:rPr>
          <w:sz w:val="28"/>
          <w:szCs w:val="28"/>
        </w:rPr>
        <w:t>низации питания различных контингентов населения и составит в 2022 году 1,4 млн.руб. (рост к 2021 году 10%).</w:t>
      </w:r>
      <w:r w:rsidRPr="00CD566D">
        <w:rPr>
          <w:color w:val="FF0000"/>
          <w:sz w:val="28"/>
          <w:szCs w:val="28"/>
        </w:rPr>
        <w:t xml:space="preserve"> </w:t>
      </w:r>
      <w:r w:rsidRPr="00FF6228">
        <w:rPr>
          <w:sz w:val="28"/>
          <w:szCs w:val="28"/>
        </w:rPr>
        <w:t>Оборот общественного питания 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 год и  плановый период 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 xml:space="preserve"> - 202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 годы  прогнозируется  с  ростом </w:t>
      </w:r>
      <w:r w:rsidR="00FF6228" w:rsidRPr="00FF6228">
        <w:rPr>
          <w:sz w:val="28"/>
          <w:szCs w:val="28"/>
        </w:rPr>
        <w:t>7,4-8,2</w:t>
      </w:r>
      <w:r w:rsidRPr="00FF6228">
        <w:rPr>
          <w:sz w:val="28"/>
          <w:szCs w:val="28"/>
        </w:rPr>
        <w:t xml:space="preserve"> % и с</w:t>
      </w:r>
      <w:r w:rsidRPr="00FF6228">
        <w:rPr>
          <w:sz w:val="28"/>
          <w:szCs w:val="28"/>
        </w:rPr>
        <w:t>о</w:t>
      </w:r>
      <w:r w:rsidRPr="00FF6228">
        <w:rPr>
          <w:sz w:val="28"/>
          <w:szCs w:val="28"/>
        </w:rPr>
        <w:t>ставит к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1,7</w:t>
      </w:r>
      <w:r w:rsidRPr="00FF6228">
        <w:rPr>
          <w:sz w:val="28"/>
          <w:szCs w:val="28"/>
        </w:rPr>
        <w:t xml:space="preserve"> млн. руб. Рост оборота прогнозируется за </w:t>
      </w:r>
      <w:r w:rsidR="00FF6228" w:rsidRPr="00FF6228">
        <w:rPr>
          <w:sz w:val="28"/>
          <w:szCs w:val="28"/>
        </w:rPr>
        <w:t xml:space="preserve">счет </w:t>
      </w:r>
      <w:r w:rsidRPr="00FF6228">
        <w:rPr>
          <w:sz w:val="28"/>
          <w:szCs w:val="28"/>
        </w:rPr>
        <w:t>расшир</w:t>
      </w:r>
      <w:r w:rsidRPr="00FF6228">
        <w:rPr>
          <w:sz w:val="28"/>
          <w:szCs w:val="28"/>
        </w:rPr>
        <w:t>е</w:t>
      </w:r>
      <w:r w:rsidRPr="00FF6228">
        <w:rPr>
          <w:sz w:val="28"/>
          <w:szCs w:val="28"/>
        </w:rPr>
        <w:t>ния сети предприятий общественного питания, отвечающих спросу н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>селения.</w:t>
      </w:r>
    </w:p>
    <w:p w:rsidR="00CD566D" w:rsidRPr="00FF6228" w:rsidRDefault="00CD566D" w:rsidP="00CD566D">
      <w:pPr>
        <w:ind w:firstLine="851"/>
        <w:jc w:val="both"/>
        <w:rPr>
          <w:sz w:val="28"/>
          <w:szCs w:val="28"/>
        </w:rPr>
      </w:pPr>
      <w:r w:rsidRPr="00FF6228">
        <w:rPr>
          <w:sz w:val="28"/>
          <w:szCs w:val="28"/>
        </w:rPr>
        <w:t>На конец 20</w:t>
      </w:r>
      <w:r w:rsidR="00FF6228" w:rsidRPr="00FF6228">
        <w:rPr>
          <w:sz w:val="28"/>
          <w:szCs w:val="28"/>
        </w:rPr>
        <w:t>21</w:t>
      </w:r>
      <w:r w:rsidRPr="00FF6228">
        <w:rPr>
          <w:sz w:val="28"/>
          <w:szCs w:val="28"/>
        </w:rPr>
        <w:t xml:space="preserve"> года количество субъектов малого предпринимательства составило </w:t>
      </w:r>
      <w:r w:rsidR="00FF6228" w:rsidRPr="00FF6228">
        <w:rPr>
          <w:sz w:val="28"/>
          <w:szCs w:val="28"/>
        </w:rPr>
        <w:t>95 единиц</w:t>
      </w:r>
      <w:r w:rsidRPr="00FF6228">
        <w:rPr>
          <w:sz w:val="28"/>
          <w:szCs w:val="28"/>
        </w:rPr>
        <w:t>, в оценке 20</w:t>
      </w:r>
      <w:r w:rsidR="00FF6228" w:rsidRPr="00FF6228">
        <w:rPr>
          <w:sz w:val="28"/>
          <w:szCs w:val="28"/>
        </w:rPr>
        <w:t>22</w:t>
      </w:r>
      <w:r w:rsidRPr="00FF6228">
        <w:rPr>
          <w:sz w:val="28"/>
          <w:szCs w:val="28"/>
        </w:rPr>
        <w:t xml:space="preserve"> года – </w:t>
      </w:r>
      <w:r w:rsidR="00FF6228" w:rsidRPr="00FF6228">
        <w:rPr>
          <w:sz w:val="28"/>
          <w:szCs w:val="28"/>
        </w:rPr>
        <w:t>96</w:t>
      </w:r>
      <w:r w:rsidRPr="00FF6228">
        <w:rPr>
          <w:sz w:val="28"/>
          <w:szCs w:val="28"/>
        </w:rPr>
        <w:t xml:space="preserve"> ед.  при численности занятых р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 xml:space="preserve">ботников </w:t>
      </w:r>
      <w:r w:rsidR="00FF6228" w:rsidRPr="00FF6228">
        <w:rPr>
          <w:sz w:val="28"/>
          <w:szCs w:val="28"/>
        </w:rPr>
        <w:t>в 2021 77 человек</w:t>
      </w:r>
      <w:r w:rsidRPr="00FF6228">
        <w:rPr>
          <w:sz w:val="28"/>
          <w:szCs w:val="28"/>
        </w:rPr>
        <w:t>, в</w:t>
      </w:r>
      <w:r w:rsidR="00FF6228" w:rsidRPr="00FF6228">
        <w:rPr>
          <w:sz w:val="28"/>
          <w:szCs w:val="28"/>
        </w:rPr>
        <w:t xml:space="preserve"> 2022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78</w:t>
      </w:r>
      <w:r w:rsidRPr="00FF6228">
        <w:rPr>
          <w:sz w:val="28"/>
          <w:szCs w:val="28"/>
        </w:rPr>
        <w:t xml:space="preserve"> человек.</w:t>
      </w:r>
    </w:p>
    <w:p w:rsidR="00CD566D" w:rsidRPr="00CD566D" w:rsidRDefault="00CD566D" w:rsidP="00CD566D">
      <w:pPr>
        <w:ind w:firstLine="851"/>
        <w:jc w:val="both"/>
        <w:rPr>
          <w:color w:val="FF0000"/>
          <w:sz w:val="28"/>
          <w:szCs w:val="28"/>
        </w:rPr>
      </w:pPr>
      <w:r w:rsidRPr="00FF6228">
        <w:rPr>
          <w:sz w:val="28"/>
          <w:szCs w:val="28"/>
        </w:rPr>
        <w:t>По прогнозу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год и плановый период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>-202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годы предпол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>гается, что количество субъе</w:t>
      </w:r>
      <w:r w:rsidRPr="00FF6228">
        <w:rPr>
          <w:sz w:val="28"/>
          <w:szCs w:val="28"/>
        </w:rPr>
        <w:t>к</w:t>
      </w:r>
      <w:r w:rsidRPr="00FF6228">
        <w:rPr>
          <w:sz w:val="28"/>
          <w:szCs w:val="28"/>
        </w:rPr>
        <w:t>тов малого предпринимательства составит к 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году </w:t>
      </w:r>
      <w:r w:rsidR="00FF6228" w:rsidRPr="00FF6228">
        <w:rPr>
          <w:sz w:val="28"/>
          <w:szCs w:val="28"/>
        </w:rPr>
        <w:t>97</w:t>
      </w:r>
      <w:r w:rsidRPr="00FF6228">
        <w:rPr>
          <w:sz w:val="28"/>
          <w:szCs w:val="28"/>
        </w:rPr>
        <w:t xml:space="preserve"> ед. при занятой численности работников – </w:t>
      </w:r>
      <w:r w:rsidR="00FF6228" w:rsidRPr="00FF6228">
        <w:rPr>
          <w:sz w:val="28"/>
          <w:szCs w:val="28"/>
        </w:rPr>
        <w:t>79</w:t>
      </w:r>
      <w:r w:rsidRPr="00FF6228">
        <w:rPr>
          <w:sz w:val="28"/>
          <w:szCs w:val="28"/>
        </w:rPr>
        <w:t xml:space="preserve"> чел. Корректировка пок</w:t>
      </w:r>
      <w:r w:rsidRPr="00FF6228">
        <w:rPr>
          <w:sz w:val="28"/>
          <w:szCs w:val="28"/>
        </w:rPr>
        <w:t>а</w:t>
      </w:r>
      <w:r w:rsidRPr="00FF6228">
        <w:rPr>
          <w:sz w:val="28"/>
          <w:szCs w:val="28"/>
        </w:rPr>
        <w:t>зателей прогноза на 202</w:t>
      </w:r>
      <w:r w:rsidR="00FF6228" w:rsidRPr="00FF6228">
        <w:rPr>
          <w:sz w:val="28"/>
          <w:szCs w:val="28"/>
        </w:rPr>
        <w:t>3</w:t>
      </w:r>
      <w:r w:rsidRPr="00FF6228">
        <w:rPr>
          <w:sz w:val="28"/>
          <w:szCs w:val="28"/>
        </w:rPr>
        <w:t xml:space="preserve"> год и плановый период 202</w:t>
      </w:r>
      <w:r w:rsidR="00FF6228" w:rsidRPr="00FF6228">
        <w:rPr>
          <w:sz w:val="28"/>
          <w:szCs w:val="28"/>
        </w:rPr>
        <w:t>4</w:t>
      </w:r>
      <w:r w:rsidRPr="00FF6228">
        <w:rPr>
          <w:sz w:val="28"/>
          <w:szCs w:val="28"/>
        </w:rPr>
        <w:t>-202</w:t>
      </w:r>
      <w:r w:rsidR="00FF6228" w:rsidRPr="00FF6228">
        <w:rPr>
          <w:sz w:val="28"/>
          <w:szCs w:val="28"/>
        </w:rPr>
        <w:t>5</w:t>
      </w:r>
      <w:r w:rsidRPr="00FF6228">
        <w:rPr>
          <w:sz w:val="28"/>
          <w:szCs w:val="28"/>
        </w:rPr>
        <w:t xml:space="preserve"> годов пров</w:t>
      </w:r>
      <w:r w:rsidRPr="00FF6228">
        <w:rPr>
          <w:sz w:val="28"/>
          <w:szCs w:val="28"/>
        </w:rPr>
        <w:t>о</w:t>
      </w:r>
      <w:r w:rsidRPr="00FF6228">
        <w:rPr>
          <w:sz w:val="28"/>
          <w:szCs w:val="28"/>
        </w:rPr>
        <w:t>дится исходя из показателей 20</w:t>
      </w:r>
      <w:r w:rsidR="00FF6228" w:rsidRPr="00FF6228">
        <w:rPr>
          <w:sz w:val="28"/>
          <w:szCs w:val="28"/>
        </w:rPr>
        <w:t>21</w:t>
      </w:r>
      <w:r w:rsidRPr="00FF6228">
        <w:rPr>
          <w:sz w:val="28"/>
          <w:szCs w:val="28"/>
        </w:rPr>
        <w:t xml:space="preserve"> года экономической ситуации в поселении.</w:t>
      </w:r>
    </w:p>
    <w:p w:rsidR="00302FD8" w:rsidRPr="00302FD8" w:rsidRDefault="00302FD8" w:rsidP="00302FD8">
      <w:pPr>
        <w:pStyle w:val="ab"/>
        <w:shd w:val="clear" w:color="auto" w:fill="F9F9FC"/>
        <w:jc w:val="both"/>
        <w:rPr>
          <w:color w:val="FF0000"/>
        </w:rPr>
      </w:pPr>
    </w:p>
    <w:p w:rsidR="00302FD8" w:rsidRPr="00D4484D" w:rsidRDefault="00302FD8" w:rsidP="00D4484D">
      <w:pPr>
        <w:pStyle w:val="2"/>
        <w:spacing w:line="240" w:lineRule="auto"/>
        <w:ind w:left="0" w:right="-5"/>
        <w:jc w:val="both"/>
        <w:rPr>
          <w:color w:val="FF0000"/>
          <w:sz w:val="28"/>
          <w:szCs w:val="28"/>
        </w:rPr>
      </w:pPr>
      <w:r w:rsidRPr="00302FD8">
        <w:rPr>
          <w:b/>
          <w:color w:val="FF0000"/>
          <w:sz w:val="28"/>
          <w:szCs w:val="28"/>
        </w:rPr>
        <w:t xml:space="preserve">     </w:t>
      </w:r>
      <w:r w:rsidRPr="005C4228">
        <w:rPr>
          <w:b/>
          <w:sz w:val="28"/>
          <w:szCs w:val="28"/>
        </w:rPr>
        <w:t>Курортно-туристский</w:t>
      </w:r>
      <w:r w:rsidRPr="005C4228">
        <w:rPr>
          <w:b/>
        </w:rPr>
        <w:t xml:space="preserve"> </w:t>
      </w:r>
      <w:r w:rsidRPr="005C4228">
        <w:rPr>
          <w:b/>
          <w:sz w:val="28"/>
          <w:szCs w:val="28"/>
        </w:rPr>
        <w:t xml:space="preserve">комплекс. </w:t>
      </w:r>
      <w:r w:rsidRPr="005C4228">
        <w:rPr>
          <w:sz w:val="28"/>
          <w:szCs w:val="28"/>
        </w:rPr>
        <w:t>Развитие санаторно-курортного компле</w:t>
      </w:r>
      <w:r w:rsidRPr="005C4228">
        <w:rPr>
          <w:sz w:val="28"/>
          <w:szCs w:val="28"/>
        </w:rPr>
        <w:t>к</w:t>
      </w:r>
      <w:r w:rsidRPr="005C4228">
        <w:rPr>
          <w:sz w:val="28"/>
          <w:szCs w:val="28"/>
        </w:rPr>
        <w:t xml:space="preserve">са - одно из </w:t>
      </w:r>
      <w:r w:rsidRPr="00FF6228">
        <w:rPr>
          <w:sz w:val="28"/>
          <w:szCs w:val="28"/>
        </w:rPr>
        <w:t>основных направлений  развития Новотаманского сельского п</w:t>
      </w:r>
      <w:r w:rsidR="005C4228" w:rsidRPr="00FF6228">
        <w:rPr>
          <w:sz w:val="28"/>
          <w:szCs w:val="28"/>
        </w:rPr>
        <w:t>ос</w:t>
      </w:r>
      <w:r w:rsidR="005C4228" w:rsidRPr="00FF6228">
        <w:rPr>
          <w:sz w:val="28"/>
          <w:szCs w:val="28"/>
        </w:rPr>
        <w:t>е</w:t>
      </w:r>
      <w:r w:rsidR="005C4228" w:rsidRPr="00FF6228">
        <w:rPr>
          <w:sz w:val="28"/>
          <w:szCs w:val="28"/>
        </w:rPr>
        <w:t>ления</w:t>
      </w:r>
      <w:r w:rsidRPr="00FF6228">
        <w:rPr>
          <w:sz w:val="28"/>
          <w:szCs w:val="28"/>
        </w:rPr>
        <w:t>.</w:t>
      </w:r>
      <w:r w:rsidRPr="00302FD8">
        <w:rPr>
          <w:color w:val="FF0000"/>
          <w:sz w:val="28"/>
          <w:szCs w:val="28"/>
        </w:rPr>
        <w:t xml:space="preserve">  </w:t>
      </w:r>
      <w:r w:rsidRPr="00D4484D">
        <w:rPr>
          <w:sz w:val="28"/>
          <w:szCs w:val="28"/>
        </w:rPr>
        <w:t>В отличие от  хорошо освоенных пляжей зон Черн</w:t>
      </w:r>
      <w:r w:rsidRPr="00D4484D">
        <w:rPr>
          <w:sz w:val="28"/>
          <w:szCs w:val="28"/>
        </w:rPr>
        <w:t>о</w:t>
      </w:r>
      <w:r w:rsidRPr="00D4484D">
        <w:rPr>
          <w:sz w:val="28"/>
          <w:szCs w:val="28"/>
        </w:rPr>
        <w:t>морского побережья края, побережье поселения освоено в незначительной степени, это регион, сп</w:t>
      </w:r>
      <w:r w:rsidRPr="00D4484D">
        <w:rPr>
          <w:sz w:val="28"/>
          <w:szCs w:val="28"/>
        </w:rPr>
        <w:t>о</w:t>
      </w:r>
      <w:r w:rsidRPr="00D4484D">
        <w:rPr>
          <w:sz w:val="28"/>
          <w:szCs w:val="28"/>
        </w:rPr>
        <w:t xml:space="preserve">собный обеспечить отдых и оздоровление людей с низким и средним уровнем </w:t>
      </w:r>
      <w:r w:rsidRPr="00D4484D">
        <w:rPr>
          <w:sz w:val="28"/>
          <w:szCs w:val="28"/>
        </w:rPr>
        <w:lastRenderedPageBreak/>
        <w:t>доходов. Объём пр</w:t>
      </w:r>
      <w:r w:rsidRPr="00D4484D">
        <w:rPr>
          <w:sz w:val="28"/>
          <w:szCs w:val="28"/>
        </w:rPr>
        <w:t>е</w:t>
      </w:r>
      <w:r w:rsidRPr="00D4484D">
        <w:rPr>
          <w:sz w:val="28"/>
          <w:szCs w:val="28"/>
        </w:rPr>
        <w:t>доставляемых услуг курортно-туристическим комплексом по оценк</w:t>
      </w:r>
      <w:r w:rsidR="00D4484D" w:rsidRPr="00D4484D">
        <w:rPr>
          <w:sz w:val="28"/>
          <w:szCs w:val="28"/>
        </w:rPr>
        <w:t>е 2022</w:t>
      </w:r>
      <w:r w:rsidRPr="00D4484D">
        <w:rPr>
          <w:sz w:val="28"/>
          <w:szCs w:val="28"/>
        </w:rPr>
        <w:t xml:space="preserve"> года увеличился на </w:t>
      </w:r>
      <w:r w:rsidR="00D4484D" w:rsidRPr="00D4484D">
        <w:rPr>
          <w:sz w:val="28"/>
          <w:szCs w:val="28"/>
        </w:rPr>
        <w:t>15,7</w:t>
      </w:r>
      <w:r w:rsidRPr="00D4484D">
        <w:rPr>
          <w:sz w:val="28"/>
          <w:szCs w:val="28"/>
        </w:rPr>
        <w:t xml:space="preserve">% и составил </w:t>
      </w:r>
      <w:r w:rsidR="00D4484D" w:rsidRPr="00D4484D">
        <w:rPr>
          <w:sz w:val="28"/>
          <w:szCs w:val="28"/>
        </w:rPr>
        <w:t>49,1</w:t>
      </w:r>
      <w:r w:rsidRPr="00D4484D">
        <w:rPr>
          <w:sz w:val="28"/>
          <w:szCs w:val="28"/>
        </w:rPr>
        <w:t xml:space="preserve"> м</w:t>
      </w:r>
      <w:r w:rsidR="00D4484D" w:rsidRPr="00D4484D">
        <w:rPr>
          <w:sz w:val="28"/>
          <w:szCs w:val="28"/>
        </w:rPr>
        <w:t>лн.рублей. В пр</w:t>
      </w:r>
      <w:r w:rsidR="00D4484D" w:rsidRPr="00D4484D">
        <w:rPr>
          <w:sz w:val="28"/>
          <w:szCs w:val="28"/>
        </w:rPr>
        <w:t>о</w:t>
      </w:r>
      <w:r w:rsidR="00D4484D" w:rsidRPr="00D4484D">
        <w:rPr>
          <w:sz w:val="28"/>
          <w:szCs w:val="28"/>
        </w:rPr>
        <w:t>гнозируемом 2023</w:t>
      </w:r>
      <w:r w:rsidRPr="00D4484D">
        <w:rPr>
          <w:sz w:val="28"/>
          <w:szCs w:val="28"/>
        </w:rPr>
        <w:t xml:space="preserve"> году эта цифра должна увеличиться до </w:t>
      </w:r>
      <w:r w:rsidR="00D4484D" w:rsidRPr="00D4484D">
        <w:rPr>
          <w:sz w:val="28"/>
          <w:szCs w:val="28"/>
        </w:rPr>
        <w:t>49,3</w:t>
      </w:r>
      <w:r w:rsidRPr="00D4484D">
        <w:rPr>
          <w:sz w:val="28"/>
          <w:szCs w:val="28"/>
        </w:rPr>
        <w:t xml:space="preserve"> млн.рублей. К</w:t>
      </w:r>
      <w:r w:rsidRPr="00D4484D">
        <w:rPr>
          <w:sz w:val="28"/>
          <w:szCs w:val="28"/>
        </w:rPr>
        <w:t>о</w:t>
      </w:r>
      <w:r w:rsidRPr="00D4484D">
        <w:rPr>
          <w:sz w:val="28"/>
          <w:szCs w:val="28"/>
        </w:rPr>
        <w:t xml:space="preserve">личество отдохнувших на территории поселения по оценке </w:t>
      </w:r>
      <w:r w:rsidR="00D4484D" w:rsidRPr="00D4484D">
        <w:rPr>
          <w:sz w:val="28"/>
          <w:szCs w:val="28"/>
        </w:rPr>
        <w:t>2022</w:t>
      </w:r>
      <w:r w:rsidRPr="00D4484D">
        <w:rPr>
          <w:sz w:val="28"/>
          <w:szCs w:val="28"/>
        </w:rPr>
        <w:t xml:space="preserve"> года </w:t>
      </w:r>
      <w:r w:rsidR="00D4484D" w:rsidRPr="00D4484D">
        <w:rPr>
          <w:sz w:val="28"/>
          <w:szCs w:val="28"/>
        </w:rPr>
        <w:t>61,0</w:t>
      </w:r>
      <w:r w:rsidRPr="00D4484D">
        <w:rPr>
          <w:sz w:val="28"/>
          <w:szCs w:val="28"/>
        </w:rPr>
        <w:t xml:space="preserve"> тыс. человек,  это на </w:t>
      </w:r>
      <w:r w:rsidR="00D4484D" w:rsidRPr="00D4484D">
        <w:rPr>
          <w:sz w:val="28"/>
          <w:szCs w:val="28"/>
        </w:rPr>
        <w:t>1,9</w:t>
      </w:r>
      <w:r w:rsidRPr="00D4484D">
        <w:rPr>
          <w:sz w:val="28"/>
          <w:szCs w:val="28"/>
        </w:rPr>
        <w:t>% боль</w:t>
      </w:r>
      <w:r w:rsidR="00D4484D" w:rsidRPr="00D4484D">
        <w:rPr>
          <w:sz w:val="28"/>
          <w:szCs w:val="28"/>
        </w:rPr>
        <w:t>ше по сравнению с 2021</w:t>
      </w:r>
      <w:r w:rsidRPr="00D4484D">
        <w:rPr>
          <w:sz w:val="28"/>
          <w:szCs w:val="28"/>
        </w:rPr>
        <w:t xml:space="preserve"> годом. </w:t>
      </w:r>
      <w:r w:rsidR="00D4484D" w:rsidRPr="00D4484D">
        <w:rPr>
          <w:sz w:val="28"/>
          <w:szCs w:val="28"/>
        </w:rPr>
        <w:t>В 2023</w:t>
      </w:r>
      <w:r w:rsidRPr="00D4484D">
        <w:rPr>
          <w:sz w:val="28"/>
          <w:szCs w:val="28"/>
        </w:rPr>
        <w:t xml:space="preserve"> году планир</w:t>
      </w:r>
      <w:r w:rsidRPr="00D4484D">
        <w:rPr>
          <w:sz w:val="28"/>
          <w:szCs w:val="28"/>
        </w:rPr>
        <w:t>у</w:t>
      </w:r>
      <w:r w:rsidRPr="00D4484D">
        <w:rPr>
          <w:sz w:val="28"/>
          <w:szCs w:val="28"/>
        </w:rPr>
        <w:t xml:space="preserve">ется принять </w:t>
      </w:r>
      <w:r w:rsidR="00D4484D" w:rsidRPr="00D4484D">
        <w:rPr>
          <w:sz w:val="28"/>
          <w:szCs w:val="28"/>
        </w:rPr>
        <w:t>62,0</w:t>
      </w:r>
      <w:r w:rsidRPr="00D4484D">
        <w:rPr>
          <w:sz w:val="28"/>
          <w:szCs w:val="28"/>
        </w:rPr>
        <w:t xml:space="preserve"> тыс. отдыхающих, в плановом периоде 202</w:t>
      </w:r>
      <w:r w:rsidR="00D4484D" w:rsidRPr="00D4484D">
        <w:rPr>
          <w:sz w:val="28"/>
          <w:szCs w:val="28"/>
        </w:rPr>
        <w:t>3</w:t>
      </w:r>
      <w:r w:rsidRPr="00D4484D">
        <w:rPr>
          <w:sz w:val="28"/>
          <w:szCs w:val="28"/>
        </w:rPr>
        <w:t>-202</w:t>
      </w:r>
      <w:r w:rsidR="00D4484D" w:rsidRPr="00D4484D">
        <w:rPr>
          <w:sz w:val="28"/>
          <w:szCs w:val="28"/>
        </w:rPr>
        <w:t>5</w:t>
      </w:r>
      <w:r w:rsidRPr="00D4484D">
        <w:rPr>
          <w:sz w:val="28"/>
          <w:szCs w:val="28"/>
        </w:rPr>
        <w:t xml:space="preserve"> годов ож</w:t>
      </w:r>
      <w:r w:rsidRPr="00D4484D">
        <w:rPr>
          <w:sz w:val="28"/>
          <w:szCs w:val="28"/>
        </w:rPr>
        <w:t>и</w:t>
      </w:r>
      <w:r w:rsidRPr="00D4484D">
        <w:rPr>
          <w:sz w:val="28"/>
          <w:szCs w:val="28"/>
        </w:rPr>
        <w:t>дается рост этого пок</w:t>
      </w:r>
      <w:r w:rsidRPr="00D4484D">
        <w:rPr>
          <w:sz w:val="28"/>
          <w:szCs w:val="28"/>
        </w:rPr>
        <w:t>а</w:t>
      </w:r>
      <w:r w:rsidRPr="00D4484D">
        <w:rPr>
          <w:sz w:val="28"/>
          <w:szCs w:val="28"/>
        </w:rPr>
        <w:t>зателя.</w:t>
      </w:r>
    </w:p>
    <w:p w:rsidR="00302FD8" w:rsidRPr="00D4484D" w:rsidRDefault="00302FD8" w:rsidP="00302FD8">
      <w:pPr>
        <w:jc w:val="both"/>
        <w:rPr>
          <w:sz w:val="28"/>
          <w:szCs w:val="28"/>
        </w:rPr>
      </w:pPr>
      <w:r w:rsidRPr="00302FD8">
        <w:rPr>
          <w:b/>
          <w:bCs/>
          <w:color w:val="FF0000"/>
          <w:sz w:val="28"/>
          <w:szCs w:val="28"/>
        </w:rPr>
        <w:t xml:space="preserve">  </w:t>
      </w:r>
      <w:r w:rsidRPr="00302FD8">
        <w:rPr>
          <w:b/>
          <w:color w:val="FF0000"/>
          <w:sz w:val="28"/>
        </w:rPr>
        <w:t xml:space="preserve">    </w:t>
      </w:r>
      <w:r w:rsidRPr="00D4484D">
        <w:rPr>
          <w:b/>
          <w:sz w:val="28"/>
        </w:rPr>
        <w:t xml:space="preserve">Малый бизнес. </w:t>
      </w:r>
      <w:r w:rsidRPr="00D4484D">
        <w:rPr>
          <w:sz w:val="28"/>
          <w:szCs w:val="28"/>
        </w:rPr>
        <w:t>Малое предпринимательство на территории поселения ра</w:t>
      </w:r>
      <w:r w:rsidRPr="00D4484D">
        <w:rPr>
          <w:sz w:val="28"/>
          <w:szCs w:val="28"/>
        </w:rPr>
        <w:t>з</w:t>
      </w:r>
      <w:r w:rsidRPr="00D4484D">
        <w:rPr>
          <w:sz w:val="28"/>
          <w:szCs w:val="28"/>
        </w:rPr>
        <w:t>вивается</w:t>
      </w:r>
      <w:r w:rsidR="00D4484D" w:rsidRPr="00D4484D">
        <w:rPr>
          <w:sz w:val="28"/>
          <w:szCs w:val="28"/>
        </w:rPr>
        <w:t xml:space="preserve"> стабильно</w:t>
      </w:r>
      <w:r w:rsidRPr="00D4484D">
        <w:rPr>
          <w:sz w:val="28"/>
          <w:szCs w:val="28"/>
        </w:rPr>
        <w:t>. Количество субъектов малого предпринимательства</w:t>
      </w:r>
      <w:r w:rsidR="00D4484D" w:rsidRPr="00D4484D">
        <w:rPr>
          <w:sz w:val="28"/>
          <w:szCs w:val="28"/>
        </w:rPr>
        <w:t>, по оценке 2022</w:t>
      </w:r>
      <w:r w:rsidRPr="00D4484D">
        <w:rPr>
          <w:sz w:val="28"/>
          <w:szCs w:val="28"/>
        </w:rPr>
        <w:t xml:space="preserve">  года должно составило </w:t>
      </w:r>
      <w:r w:rsidR="00D4484D" w:rsidRPr="00D4484D">
        <w:rPr>
          <w:sz w:val="28"/>
          <w:szCs w:val="28"/>
        </w:rPr>
        <w:t>96</w:t>
      </w:r>
      <w:r w:rsidRPr="00D4484D">
        <w:rPr>
          <w:sz w:val="28"/>
          <w:szCs w:val="28"/>
        </w:rPr>
        <w:t xml:space="preserve"> единиц. Н</w:t>
      </w:r>
      <w:r w:rsidRPr="00D4484D">
        <w:rPr>
          <w:sz w:val="28"/>
          <w:szCs w:val="28"/>
        </w:rPr>
        <w:t>е</w:t>
      </w:r>
      <w:r w:rsidRPr="00D4484D">
        <w:rPr>
          <w:sz w:val="28"/>
          <w:szCs w:val="28"/>
        </w:rPr>
        <w:t>обходимо создавать условия для развития  поддержания этой структурной о</w:t>
      </w:r>
      <w:r w:rsidRPr="00D4484D">
        <w:rPr>
          <w:sz w:val="28"/>
          <w:szCs w:val="28"/>
        </w:rPr>
        <w:t>т</w:t>
      </w:r>
      <w:r w:rsidRPr="00D4484D">
        <w:rPr>
          <w:sz w:val="28"/>
          <w:szCs w:val="28"/>
        </w:rPr>
        <w:t>расли на территории поселения. К сожалению, доходы бюджета не позволяют активно влиять на развитие мал</w:t>
      </w:r>
      <w:r w:rsidRPr="00D4484D">
        <w:rPr>
          <w:sz w:val="28"/>
          <w:szCs w:val="28"/>
        </w:rPr>
        <w:t>о</w:t>
      </w:r>
      <w:r w:rsidRPr="00D4484D">
        <w:rPr>
          <w:sz w:val="28"/>
          <w:szCs w:val="28"/>
        </w:rPr>
        <w:t>го бизнеса. Муниципальная программа  «Поддержка малого и среднего пре</w:t>
      </w:r>
      <w:r w:rsidRPr="00D4484D">
        <w:rPr>
          <w:sz w:val="28"/>
          <w:szCs w:val="28"/>
        </w:rPr>
        <w:t>д</w:t>
      </w:r>
      <w:r w:rsidRPr="00D4484D">
        <w:rPr>
          <w:sz w:val="28"/>
          <w:szCs w:val="28"/>
        </w:rPr>
        <w:t>принимательства в Новотаманском сельском поселении Темрюкского рай</w:t>
      </w:r>
      <w:r w:rsidR="00D4484D" w:rsidRPr="00D4484D">
        <w:rPr>
          <w:sz w:val="28"/>
          <w:szCs w:val="28"/>
        </w:rPr>
        <w:t>она в 2021-2023</w:t>
      </w:r>
      <w:r w:rsidRPr="00D4484D">
        <w:rPr>
          <w:sz w:val="28"/>
          <w:szCs w:val="28"/>
        </w:rPr>
        <w:t xml:space="preserve"> годы» предполагает </w:t>
      </w:r>
      <w:r w:rsidR="00D4484D" w:rsidRPr="00D4484D">
        <w:rPr>
          <w:sz w:val="28"/>
          <w:szCs w:val="28"/>
        </w:rPr>
        <w:t xml:space="preserve">ежегодное </w:t>
      </w:r>
      <w:r w:rsidRPr="00D4484D">
        <w:rPr>
          <w:sz w:val="28"/>
          <w:szCs w:val="28"/>
        </w:rPr>
        <w:t>финансирование. Эти средства пл</w:t>
      </w:r>
      <w:r w:rsidRPr="00D4484D">
        <w:rPr>
          <w:sz w:val="28"/>
          <w:szCs w:val="28"/>
        </w:rPr>
        <w:t>а</w:t>
      </w:r>
      <w:r w:rsidRPr="00D4484D">
        <w:rPr>
          <w:sz w:val="28"/>
          <w:szCs w:val="28"/>
        </w:rPr>
        <w:t xml:space="preserve">нируется использовать для информационного обеспечения субъектов малого предпринимательства. </w:t>
      </w:r>
    </w:p>
    <w:p w:rsidR="00302FD8" w:rsidRPr="00302FD8" w:rsidRDefault="00302FD8" w:rsidP="00302FD8">
      <w:pPr>
        <w:jc w:val="both"/>
        <w:rPr>
          <w:color w:val="FF0000"/>
          <w:sz w:val="28"/>
          <w:szCs w:val="28"/>
        </w:rPr>
      </w:pPr>
    </w:p>
    <w:p w:rsidR="00302FD8" w:rsidRPr="007C32D0" w:rsidRDefault="00302FD8" w:rsidP="00302FD8">
      <w:pPr>
        <w:ind w:firstLine="708"/>
        <w:jc w:val="both"/>
        <w:rPr>
          <w:sz w:val="28"/>
          <w:szCs w:val="28"/>
        </w:rPr>
      </w:pPr>
      <w:r w:rsidRPr="007C32D0">
        <w:rPr>
          <w:b/>
          <w:sz w:val="28"/>
          <w:szCs w:val="28"/>
        </w:rPr>
        <w:t>Социальная сфера.</w:t>
      </w:r>
      <w:r w:rsidRPr="007C32D0">
        <w:rPr>
          <w:sz w:val="28"/>
          <w:szCs w:val="28"/>
        </w:rPr>
        <w:t xml:space="preserve">  Обеспеченность врачами на 10 тыс. человек насел</w:t>
      </w:r>
      <w:r w:rsidRPr="007C32D0">
        <w:rPr>
          <w:sz w:val="28"/>
          <w:szCs w:val="28"/>
        </w:rPr>
        <w:t>е</w:t>
      </w:r>
      <w:r w:rsidRPr="007C32D0">
        <w:rPr>
          <w:sz w:val="28"/>
          <w:szCs w:val="28"/>
        </w:rPr>
        <w:t xml:space="preserve">ния </w:t>
      </w:r>
      <w:r w:rsidR="007C32D0" w:rsidRPr="007C32D0">
        <w:rPr>
          <w:sz w:val="28"/>
          <w:szCs w:val="28"/>
        </w:rPr>
        <w:t>4,0</w:t>
      </w:r>
      <w:r w:rsidRPr="007C32D0">
        <w:rPr>
          <w:sz w:val="28"/>
          <w:szCs w:val="28"/>
        </w:rPr>
        <w:t>,  этот показатель стабилен. Обеспеченность средним медицинским пе</w:t>
      </w:r>
      <w:r w:rsidRPr="007C32D0">
        <w:rPr>
          <w:sz w:val="28"/>
          <w:szCs w:val="28"/>
        </w:rPr>
        <w:t>р</w:t>
      </w:r>
      <w:r w:rsidRPr="007C32D0">
        <w:rPr>
          <w:sz w:val="28"/>
          <w:szCs w:val="28"/>
        </w:rPr>
        <w:t xml:space="preserve">соналом  фактически по оценке </w:t>
      </w:r>
      <w:r w:rsidR="007C32D0" w:rsidRPr="007C32D0">
        <w:rPr>
          <w:sz w:val="28"/>
          <w:szCs w:val="28"/>
        </w:rPr>
        <w:t xml:space="preserve"> 2022</w:t>
      </w:r>
      <w:r w:rsidRPr="007C32D0">
        <w:rPr>
          <w:sz w:val="28"/>
          <w:szCs w:val="28"/>
        </w:rPr>
        <w:t xml:space="preserve"> года </w:t>
      </w:r>
      <w:r w:rsidR="007C32D0" w:rsidRPr="007C32D0">
        <w:rPr>
          <w:sz w:val="28"/>
          <w:szCs w:val="28"/>
        </w:rPr>
        <w:t>9,0 человек. В прогнозируемом 2023</w:t>
      </w:r>
      <w:r w:rsidRPr="007C32D0">
        <w:rPr>
          <w:sz w:val="28"/>
          <w:szCs w:val="28"/>
        </w:rPr>
        <w:t xml:space="preserve"> году  и  плановом периоде 202</w:t>
      </w:r>
      <w:r w:rsidR="007C32D0" w:rsidRPr="007C32D0">
        <w:rPr>
          <w:sz w:val="28"/>
          <w:szCs w:val="28"/>
        </w:rPr>
        <w:t>4</w:t>
      </w:r>
      <w:r w:rsidRPr="007C32D0">
        <w:rPr>
          <w:sz w:val="28"/>
          <w:szCs w:val="28"/>
        </w:rPr>
        <w:t>-202</w:t>
      </w:r>
      <w:r w:rsidR="007C32D0" w:rsidRPr="007C32D0">
        <w:rPr>
          <w:sz w:val="28"/>
          <w:szCs w:val="28"/>
        </w:rPr>
        <w:t>5</w:t>
      </w:r>
      <w:r w:rsidRPr="007C32D0">
        <w:rPr>
          <w:sz w:val="28"/>
          <w:szCs w:val="28"/>
        </w:rPr>
        <w:t xml:space="preserve"> годов показатель не меняется.</w:t>
      </w:r>
    </w:p>
    <w:p w:rsidR="00302FD8" w:rsidRPr="007C32D0" w:rsidRDefault="00302FD8" w:rsidP="00302FD8">
      <w:pPr>
        <w:jc w:val="both"/>
        <w:rPr>
          <w:sz w:val="28"/>
          <w:szCs w:val="28"/>
        </w:rPr>
      </w:pPr>
      <w:r w:rsidRPr="007C32D0">
        <w:rPr>
          <w:sz w:val="28"/>
          <w:szCs w:val="28"/>
        </w:rPr>
        <w:t xml:space="preserve">    На территории поселения находится три муниципальных бюджетных дошк</w:t>
      </w:r>
      <w:r w:rsidRPr="007C32D0">
        <w:rPr>
          <w:sz w:val="28"/>
          <w:szCs w:val="28"/>
        </w:rPr>
        <w:t>о</w:t>
      </w:r>
      <w:r w:rsidRPr="007C32D0">
        <w:rPr>
          <w:sz w:val="28"/>
          <w:szCs w:val="28"/>
        </w:rPr>
        <w:t xml:space="preserve">льных учреждения, </w:t>
      </w:r>
      <w:r w:rsidR="007C32D0" w:rsidRPr="007C32D0">
        <w:rPr>
          <w:sz w:val="28"/>
          <w:szCs w:val="28"/>
        </w:rPr>
        <w:t>три</w:t>
      </w:r>
      <w:r w:rsidRPr="007C32D0">
        <w:rPr>
          <w:sz w:val="28"/>
          <w:szCs w:val="28"/>
        </w:rPr>
        <w:t xml:space="preserve"> муниципальных общеобразовательных бюджетных учре</w:t>
      </w:r>
      <w:r w:rsidR="007C32D0" w:rsidRPr="007C32D0">
        <w:rPr>
          <w:sz w:val="28"/>
          <w:szCs w:val="28"/>
        </w:rPr>
        <w:t>ждения</w:t>
      </w:r>
      <w:r w:rsidRPr="007C32D0">
        <w:rPr>
          <w:sz w:val="28"/>
          <w:szCs w:val="28"/>
        </w:rPr>
        <w:t xml:space="preserve"> средней общеобразовательной школы, одно   муниципальное о</w:t>
      </w:r>
      <w:r w:rsidRPr="007C32D0">
        <w:rPr>
          <w:sz w:val="28"/>
          <w:szCs w:val="28"/>
        </w:rPr>
        <w:t>б</w:t>
      </w:r>
      <w:r w:rsidRPr="007C32D0">
        <w:rPr>
          <w:sz w:val="28"/>
          <w:szCs w:val="28"/>
        </w:rPr>
        <w:t>щеобразовательное бюджетное учреждение основной общеобразовательной школы,  ГБПОУ  КК  ССХТ. Сто процентов учащихся обучается в первую см</w:t>
      </w:r>
      <w:r w:rsidRPr="007C32D0">
        <w:rPr>
          <w:sz w:val="28"/>
          <w:szCs w:val="28"/>
        </w:rPr>
        <w:t>е</w:t>
      </w:r>
      <w:r w:rsidRPr="007C32D0">
        <w:rPr>
          <w:sz w:val="28"/>
          <w:szCs w:val="28"/>
        </w:rPr>
        <w:t>ну.</w:t>
      </w:r>
    </w:p>
    <w:p w:rsidR="00302FD8" w:rsidRPr="00491D3B" w:rsidRDefault="00302FD8" w:rsidP="00302FD8">
      <w:pPr>
        <w:jc w:val="both"/>
        <w:rPr>
          <w:sz w:val="28"/>
          <w:szCs w:val="28"/>
        </w:rPr>
      </w:pPr>
      <w:r w:rsidRPr="00302FD8">
        <w:rPr>
          <w:color w:val="FF0000"/>
          <w:sz w:val="28"/>
          <w:szCs w:val="28"/>
        </w:rPr>
        <w:t xml:space="preserve">       </w:t>
      </w:r>
      <w:r w:rsidRPr="00491D3B">
        <w:rPr>
          <w:sz w:val="28"/>
          <w:szCs w:val="28"/>
        </w:rPr>
        <w:t>Обеспеченность населения спортивными сооружениями в 20</w:t>
      </w:r>
      <w:r w:rsidR="00491D3B" w:rsidRPr="00491D3B">
        <w:rPr>
          <w:sz w:val="28"/>
          <w:szCs w:val="28"/>
        </w:rPr>
        <w:t>22</w:t>
      </w:r>
      <w:r w:rsidRPr="00491D3B">
        <w:rPr>
          <w:sz w:val="28"/>
          <w:szCs w:val="28"/>
        </w:rPr>
        <w:t xml:space="preserve"> году сохр</w:t>
      </w:r>
      <w:r w:rsidRPr="00491D3B">
        <w:rPr>
          <w:sz w:val="28"/>
          <w:szCs w:val="28"/>
        </w:rPr>
        <w:t>а</w:t>
      </w:r>
      <w:r w:rsidRPr="00491D3B">
        <w:rPr>
          <w:sz w:val="28"/>
          <w:szCs w:val="28"/>
        </w:rPr>
        <w:t>няется на уровне 13кв.м на 1тыс.населения. На территории поселения имеется три стадиона, на базе СДК пос. Таманского функционирует спортивная пл</w:t>
      </w:r>
      <w:r w:rsidRPr="00491D3B">
        <w:rPr>
          <w:sz w:val="28"/>
          <w:szCs w:val="28"/>
        </w:rPr>
        <w:t>о</w:t>
      </w:r>
      <w:r w:rsidRPr="00491D3B">
        <w:rPr>
          <w:sz w:val="28"/>
          <w:szCs w:val="28"/>
        </w:rPr>
        <w:t>щадка в пос. Таманском, успешно выступает футбольная команда «Черном</w:t>
      </w:r>
      <w:r w:rsidRPr="00491D3B">
        <w:rPr>
          <w:sz w:val="28"/>
          <w:szCs w:val="28"/>
        </w:rPr>
        <w:t>о</w:t>
      </w:r>
      <w:r w:rsidRPr="00491D3B">
        <w:rPr>
          <w:sz w:val="28"/>
          <w:szCs w:val="28"/>
        </w:rPr>
        <w:t>рец», представленная тремя возрастными группами.</w:t>
      </w:r>
    </w:p>
    <w:p w:rsidR="00302FD8" w:rsidRPr="00491D3B" w:rsidRDefault="00302FD8" w:rsidP="00302FD8">
      <w:pPr>
        <w:jc w:val="both"/>
        <w:rPr>
          <w:sz w:val="28"/>
          <w:szCs w:val="28"/>
        </w:rPr>
      </w:pPr>
      <w:r w:rsidRPr="00491D3B">
        <w:rPr>
          <w:sz w:val="28"/>
          <w:szCs w:val="28"/>
        </w:rPr>
        <w:tab/>
        <w:t>Растет интерес жителей к спорту. Удельный вес населения, занимающ</w:t>
      </w:r>
      <w:r w:rsidRPr="00491D3B">
        <w:rPr>
          <w:sz w:val="28"/>
          <w:szCs w:val="28"/>
        </w:rPr>
        <w:t>е</w:t>
      </w:r>
      <w:r w:rsidRPr="00491D3B">
        <w:rPr>
          <w:sz w:val="28"/>
          <w:szCs w:val="28"/>
        </w:rPr>
        <w:t>гося спортом по оценке  20</w:t>
      </w:r>
      <w:r w:rsidR="00491D3B" w:rsidRPr="00491D3B">
        <w:rPr>
          <w:sz w:val="28"/>
          <w:szCs w:val="28"/>
        </w:rPr>
        <w:t xml:space="preserve">22 </w:t>
      </w:r>
      <w:r w:rsidRPr="00491D3B">
        <w:rPr>
          <w:sz w:val="28"/>
          <w:szCs w:val="28"/>
        </w:rPr>
        <w:t>год</w:t>
      </w:r>
      <w:r w:rsidR="00491D3B" w:rsidRPr="00491D3B">
        <w:rPr>
          <w:sz w:val="28"/>
          <w:szCs w:val="28"/>
        </w:rPr>
        <w:t>а составил 5,4</w:t>
      </w:r>
      <w:r w:rsidRPr="00491D3B">
        <w:rPr>
          <w:sz w:val="28"/>
          <w:szCs w:val="28"/>
        </w:rPr>
        <w:t>%,</w:t>
      </w:r>
      <w:r w:rsidR="00491D3B" w:rsidRPr="00491D3B">
        <w:rPr>
          <w:sz w:val="28"/>
          <w:szCs w:val="28"/>
        </w:rPr>
        <w:t xml:space="preserve"> в прогнозируемом 2023</w:t>
      </w:r>
      <w:r w:rsidRPr="00491D3B">
        <w:rPr>
          <w:sz w:val="28"/>
          <w:szCs w:val="28"/>
        </w:rPr>
        <w:t xml:space="preserve"> году </w:t>
      </w:r>
      <w:r w:rsidR="00491D3B" w:rsidRPr="00491D3B">
        <w:rPr>
          <w:sz w:val="28"/>
          <w:szCs w:val="28"/>
        </w:rPr>
        <w:t>5,5</w:t>
      </w:r>
      <w:r w:rsidRPr="00491D3B">
        <w:rPr>
          <w:sz w:val="28"/>
          <w:szCs w:val="28"/>
        </w:rPr>
        <w:t xml:space="preserve"> %, что на 1,9% выше по сравнению с предыдущим годом.</w:t>
      </w:r>
    </w:p>
    <w:p w:rsidR="00302FD8" w:rsidRPr="00491D3B" w:rsidRDefault="00302FD8" w:rsidP="00302FD8">
      <w:pPr>
        <w:jc w:val="both"/>
        <w:rPr>
          <w:b/>
          <w:bCs/>
          <w:sz w:val="28"/>
          <w:szCs w:val="28"/>
        </w:rPr>
      </w:pPr>
      <w:r w:rsidRPr="00491D3B">
        <w:rPr>
          <w:sz w:val="28"/>
          <w:szCs w:val="28"/>
        </w:rPr>
        <w:tab/>
      </w:r>
      <w:r w:rsidRPr="00491D3B">
        <w:rPr>
          <w:bCs/>
          <w:sz w:val="28"/>
          <w:szCs w:val="28"/>
        </w:rPr>
        <w:tab/>
      </w:r>
    </w:p>
    <w:p w:rsidR="00302FD8" w:rsidRPr="003319D5" w:rsidRDefault="00302FD8" w:rsidP="00302FD8">
      <w:pPr>
        <w:ind w:firstLine="708"/>
        <w:jc w:val="both"/>
        <w:rPr>
          <w:sz w:val="28"/>
          <w:szCs w:val="28"/>
        </w:rPr>
      </w:pPr>
      <w:r w:rsidRPr="003319D5">
        <w:rPr>
          <w:b/>
          <w:bCs/>
          <w:sz w:val="28"/>
          <w:szCs w:val="28"/>
        </w:rPr>
        <w:t xml:space="preserve">Инфраструктурная обеспеченность населения. </w:t>
      </w:r>
      <w:r w:rsidRPr="003319D5">
        <w:rPr>
          <w:bCs/>
          <w:sz w:val="28"/>
          <w:szCs w:val="28"/>
        </w:rPr>
        <w:t>Протяжённость осв</w:t>
      </w:r>
      <w:r w:rsidRPr="003319D5">
        <w:rPr>
          <w:bCs/>
          <w:sz w:val="28"/>
          <w:szCs w:val="28"/>
        </w:rPr>
        <w:t>е</w:t>
      </w:r>
      <w:r w:rsidRPr="003319D5">
        <w:rPr>
          <w:bCs/>
          <w:sz w:val="28"/>
          <w:szCs w:val="28"/>
        </w:rPr>
        <w:t>щённых улиц Новотаманского сельского поселения Темрюкского района по оценке 20</w:t>
      </w:r>
      <w:r w:rsidR="00491D3B" w:rsidRPr="003319D5">
        <w:rPr>
          <w:bCs/>
          <w:sz w:val="28"/>
          <w:szCs w:val="28"/>
        </w:rPr>
        <w:t>22</w:t>
      </w:r>
      <w:r w:rsidRPr="003319D5">
        <w:rPr>
          <w:bCs/>
          <w:sz w:val="28"/>
          <w:szCs w:val="28"/>
        </w:rPr>
        <w:t xml:space="preserve"> года составит </w:t>
      </w:r>
      <w:r w:rsidR="003319D5" w:rsidRPr="003319D5">
        <w:rPr>
          <w:bCs/>
          <w:sz w:val="28"/>
          <w:szCs w:val="28"/>
        </w:rPr>
        <w:t xml:space="preserve">76,0 км. </w:t>
      </w:r>
      <w:r w:rsidRPr="003319D5">
        <w:rPr>
          <w:sz w:val="28"/>
          <w:szCs w:val="28"/>
        </w:rPr>
        <w:t>В 20</w:t>
      </w:r>
      <w:r w:rsidR="003319D5" w:rsidRPr="003319D5">
        <w:rPr>
          <w:sz w:val="28"/>
          <w:szCs w:val="28"/>
        </w:rPr>
        <w:t>22</w:t>
      </w:r>
      <w:r w:rsidRPr="003319D5">
        <w:rPr>
          <w:sz w:val="28"/>
          <w:szCs w:val="28"/>
        </w:rPr>
        <w:t xml:space="preserve"> году </w:t>
      </w:r>
      <w:r w:rsidR="003319D5" w:rsidRPr="003319D5">
        <w:rPr>
          <w:sz w:val="28"/>
          <w:szCs w:val="28"/>
        </w:rPr>
        <w:t>ведутся работы по ремонту</w:t>
      </w:r>
      <w:r w:rsidRPr="003319D5">
        <w:rPr>
          <w:sz w:val="28"/>
          <w:szCs w:val="28"/>
        </w:rPr>
        <w:t xml:space="preserve"> с</w:t>
      </w:r>
      <w:r w:rsidRPr="003319D5">
        <w:rPr>
          <w:sz w:val="28"/>
          <w:szCs w:val="28"/>
        </w:rPr>
        <w:t>е</w:t>
      </w:r>
      <w:r w:rsidRPr="003319D5">
        <w:rPr>
          <w:sz w:val="28"/>
          <w:szCs w:val="28"/>
        </w:rPr>
        <w:t>тей уличного освещения</w:t>
      </w:r>
      <w:r w:rsidR="003319D5" w:rsidRPr="003319D5">
        <w:rPr>
          <w:sz w:val="28"/>
          <w:szCs w:val="28"/>
        </w:rPr>
        <w:t>. В 2023</w:t>
      </w:r>
      <w:r w:rsidRPr="003319D5">
        <w:rPr>
          <w:sz w:val="28"/>
          <w:szCs w:val="28"/>
        </w:rPr>
        <w:t xml:space="preserve"> году, в соответствии с муниципальной  пр</w:t>
      </w:r>
      <w:r w:rsidRPr="003319D5">
        <w:rPr>
          <w:sz w:val="28"/>
          <w:szCs w:val="28"/>
        </w:rPr>
        <w:t>о</w:t>
      </w:r>
      <w:r w:rsidRPr="003319D5">
        <w:rPr>
          <w:sz w:val="28"/>
          <w:szCs w:val="28"/>
        </w:rPr>
        <w:t>граммой «Благоустройство территории Новотама</w:t>
      </w:r>
      <w:r w:rsidRPr="003319D5">
        <w:rPr>
          <w:sz w:val="28"/>
          <w:szCs w:val="28"/>
        </w:rPr>
        <w:t>н</w:t>
      </w:r>
      <w:r w:rsidRPr="003319D5">
        <w:rPr>
          <w:sz w:val="28"/>
          <w:szCs w:val="28"/>
        </w:rPr>
        <w:t>ского сельского поселе</w:t>
      </w:r>
      <w:r w:rsidR="003319D5" w:rsidRPr="003319D5">
        <w:rPr>
          <w:sz w:val="28"/>
          <w:szCs w:val="28"/>
        </w:rPr>
        <w:t>ния  Темрюкского района на 2021</w:t>
      </w:r>
      <w:r w:rsidRPr="003319D5">
        <w:rPr>
          <w:sz w:val="28"/>
          <w:szCs w:val="28"/>
        </w:rPr>
        <w:t>-202</w:t>
      </w:r>
      <w:r w:rsidR="003319D5" w:rsidRPr="003319D5">
        <w:rPr>
          <w:sz w:val="28"/>
          <w:szCs w:val="28"/>
        </w:rPr>
        <w:t>3</w:t>
      </w:r>
      <w:r w:rsidRPr="003319D5">
        <w:rPr>
          <w:sz w:val="28"/>
          <w:szCs w:val="28"/>
        </w:rPr>
        <w:t xml:space="preserve"> годы», эта работа будет продо</w:t>
      </w:r>
      <w:r w:rsidRPr="003319D5">
        <w:rPr>
          <w:sz w:val="28"/>
          <w:szCs w:val="28"/>
        </w:rPr>
        <w:t>л</w:t>
      </w:r>
      <w:r w:rsidRPr="003319D5">
        <w:rPr>
          <w:sz w:val="28"/>
          <w:szCs w:val="28"/>
        </w:rPr>
        <w:t>жена.</w:t>
      </w:r>
    </w:p>
    <w:p w:rsidR="00302FD8" w:rsidRPr="003319D5" w:rsidRDefault="00302FD8" w:rsidP="00302FD8">
      <w:pPr>
        <w:ind w:firstLine="708"/>
        <w:jc w:val="both"/>
        <w:rPr>
          <w:b/>
          <w:bCs/>
          <w:sz w:val="28"/>
          <w:szCs w:val="28"/>
        </w:rPr>
      </w:pPr>
      <w:r w:rsidRPr="003319D5">
        <w:rPr>
          <w:sz w:val="28"/>
          <w:szCs w:val="28"/>
        </w:rPr>
        <w:lastRenderedPageBreak/>
        <w:t>Ремонт дорог местного значения осуществляется в соответствии с мун</w:t>
      </w:r>
      <w:r w:rsidRPr="003319D5">
        <w:rPr>
          <w:sz w:val="28"/>
          <w:szCs w:val="28"/>
        </w:rPr>
        <w:t>и</w:t>
      </w:r>
      <w:r w:rsidRPr="003319D5">
        <w:rPr>
          <w:sz w:val="28"/>
          <w:szCs w:val="28"/>
        </w:rPr>
        <w:t>ципальной программой «Капитальный ремонт и ремонт автомобильных дорог местного значения Новотаманского сельског</w:t>
      </w:r>
      <w:r w:rsidR="003319D5" w:rsidRPr="003319D5">
        <w:rPr>
          <w:sz w:val="28"/>
          <w:szCs w:val="28"/>
        </w:rPr>
        <w:t>о поселения Темрюкского ра</w:t>
      </w:r>
      <w:r w:rsidR="003319D5" w:rsidRPr="003319D5">
        <w:rPr>
          <w:sz w:val="28"/>
          <w:szCs w:val="28"/>
        </w:rPr>
        <w:t>й</w:t>
      </w:r>
      <w:r w:rsidR="003319D5" w:rsidRPr="003319D5">
        <w:rPr>
          <w:sz w:val="28"/>
          <w:szCs w:val="28"/>
        </w:rPr>
        <w:t xml:space="preserve">она». </w:t>
      </w:r>
      <w:r w:rsidRPr="003319D5">
        <w:rPr>
          <w:sz w:val="28"/>
          <w:szCs w:val="28"/>
        </w:rPr>
        <w:t>Протяжённость отремонтированных автомобильных дорог местного зн</w:t>
      </w:r>
      <w:r w:rsidRPr="003319D5">
        <w:rPr>
          <w:sz w:val="28"/>
          <w:szCs w:val="28"/>
        </w:rPr>
        <w:t>а</w:t>
      </w:r>
      <w:r w:rsidRPr="003319D5">
        <w:rPr>
          <w:sz w:val="28"/>
          <w:szCs w:val="28"/>
        </w:rPr>
        <w:t xml:space="preserve">чения по оценке </w:t>
      </w:r>
      <w:r w:rsidR="003319D5" w:rsidRPr="003319D5">
        <w:rPr>
          <w:sz w:val="28"/>
          <w:szCs w:val="28"/>
        </w:rPr>
        <w:t xml:space="preserve"> 2022</w:t>
      </w:r>
      <w:r w:rsidRPr="003319D5">
        <w:rPr>
          <w:sz w:val="28"/>
          <w:szCs w:val="28"/>
        </w:rPr>
        <w:t xml:space="preserve"> года составит </w:t>
      </w:r>
      <w:r w:rsidR="003319D5" w:rsidRPr="003319D5">
        <w:rPr>
          <w:sz w:val="28"/>
          <w:szCs w:val="28"/>
        </w:rPr>
        <w:t>2,7</w:t>
      </w:r>
      <w:r w:rsidRPr="003319D5">
        <w:rPr>
          <w:sz w:val="28"/>
          <w:szCs w:val="28"/>
        </w:rPr>
        <w:t xml:space="preserve"> км. Помимо этого был  </w:t>
      </w:r>
      <w:r w:rsidR="003319D5" w:rsidRPr="003319D5">
        <w:rPr>
          <w:sz w:val="28"/>
          <w:szCs w:val="28"/>
        </w:rPr>
        <w:t>произведён</w:t>
      </w:r>
      <w:r w:rsidRPr="003319D5">
        <w:rPr>
          <w:sz w:val="28"/>
          <w:szCs w:val="28"/>
        </w:rPr>
        <w:t xml:space="preserve"> ямо</w:t>
      </w:r>
      <w:r w:rsidRPr="003319D5">
        <w:rPr>
          <w:sz w:val="28"/>
          <w:szCs w:val="28"/>
        </w:rPr>
        <w:t>ч</w:t>
      </w:r>
      <w:r w:rsidRPr="003319D5">
        <w:rPr>
          <w:sz w:val="28"/>
          <w:szCs w:val="28"/>
        </w:rPr>
        <w:t xml:space="preserve">ный ремонт.  </w:t>
      </w:r>
    </w:p>
    <w:p w:rsidR="00302FD8" w:rsidRPr="00302FD8" w:rsidRDefault="00302FD8" w:rsidP="00302FD8">
      <w:pPr>
        <w:jc w:val="both"/>
        <w:rPr>
          <w:bCs/>
          <w:color w:val="FF0000"/>
          <w:sz w:val="28"/>
          <w:szCs w:val="28"/>
        </w:rPr>
      </w:pPr>
    </w:p>
    <w:p w:rsidR="00302FD8" w:rsidRPr="003319D5" w:rsidRDefault="00302FD8" w:rsidP="00302FD8">
      <w:pPr>
        <w:ind w:firstLine="708"/>
        <w:jc w:val="both"/>
        <w:rPr>
          <w:b/>
          <w:sz w:val="28"/>
          <w:szCs w:val="28"/>
        </w:rPr>
      </w:pPr>
      <w:r w:rsidRPr="003319D5">
        <w:rPr>
          <w:b/>
          <w:sz w:val="28"/>
          <w:szCs w:val="28"/>
        </w:rPr>
        <w:t xml:space="preserve">Благоустройство. </w:t>
      </w:r>
      <w:r w:rsidRPr="003319D5">
        <w:rPr>
          <w:sz w:val="28"/>
          <w:szCs w:val="28"/>
        </w:rPr>
        <w:t>В целях содержания в чистоте и санитарном порядке территории поселения, обеспечения безопасности движения, соблюдения пр</w:t>
      </w:r>
      <w:r w:rsidRPr="003319D5">
        <w:rPr>
          <w:sz w:val="28"/>
          <w:szCs w:val="28"/>
        </w:rPr>
        <w:t>а</w:t>
      </w:r>
      <w:r w:rsidRPr="003319D5">
        <w:rPr>
          <w:sz w:val="28"/>
          <w:szCs w:val="28"/>
        </w:rPr>
        <w:t>вил экологической безопасности проводятся мероприятия по высадке зеленых насаждений, ремонту дорог и тротуаров, ведётся кошение растительности, ф</w:t>
      </w:r>
      <w:r w:rsidRPr="003319D5">
        <w:rPr>
          <w:sz w:val="28"/>
          <w:szCs w:val="28"/>
        </w:rPr>
        <w:t>и</w:t>
      </w:r>
      <w:r w:rsidRPr="003319D5">
        <w:rPr>
          <w:sz w:val="28"/>
          <w:szCs w:val="28"/>
        </w:rPr>
        <w:t>нансируется содержание мест захоронения, прочее благоустройство  террит</w:t>
      </w:r>
      <w:r w:rsidRPr="003319D5">
        <w:rPr>
          <w:sz w:val="28"/>
          <w:szCs w:val="28"/>
        </w:rPr>
        <w:t>о</w:t>
      </w:r>
      <w:r w:rsidRPr="003319D5">
        <w:rPr>
          <w:sz w:val="28"/>
          <w:szCs w:val="28"/>
        </w:rPr>
        <w:t xml:space="preserve">рии. </w:t>
      </w:r>
    </w:p>
    <w:p w:rsidR="00302FD8" w:rsidRPr="00302FD8" w:rsidRDefault="00302FD8" w:rsidP="00302FD8">
      <w:pPr>
        <w:ind w:firstLine="708"/>
        <w:jc w:val="both"/>
        <w:rPr>
          <w:color w:val="FF0000"/>
          <w:sz w:val="28"/>
          <w:szCs w:val="28"/>
        </w:rPr>
      </w:pPr>
    </w:p>
    <w:p w:rsidR="008D56D2" w:rsidRDefault="00302FD8" w:rsidP="008D56D2">
      <w:pPr>
        <w:ind w:firstLine="567"/>
        <w:jc w:val="both"/>
        <w:rPr>
          <w:sz w:val="28"/>
          <w:szCs w:val="28"/>
        </w:rPr>
      </w:pPr>
      <w:r w:rsidRPr="00DA7D84">
        <w:rPr>
          <w:b/>
          <w:sz w:val="28"/>
          <w:szCs w:val="28"/>
        </w:rPr>
        <w:t xml:space="preserve">Показатели налогового потенциала по налогам. </w:t>
      </w:r>
      <w:r w:rsidR="008D56D2" w:rsidRPr="00DA7D84">
        <w:rPr>
          <w:sz w:val="28"/>
          <w:szCs w:val="28"/>
        </w:rPr>
        <w:t xml:space="preserve">Показатель </w:t>
      </w:r>
      <w:r w:rsidR="008D56D2" w:rsidRPr="00A265E8">
        <w:rPr>
          <w:color w:val="000000"/>
          <w:sz w:val="28"/>
          <w:szCs w:val="28"/>
        </w:rPr>
        <w:t>налогового потенциала по земельному налогу с физических и юридических лиц рассчит</w:t>
      </w:r>
      <w:r w:rsidR="008D56D2" w:rsidRPr="00A265E8">
        <w:rPr>
          <w:color w:val="000000"/>
          <w:sz w:val="28"/>
          <w:szCs w:val="28"/>
        </w:rPr>
        <w:t>ы</w:t>
      </w:r>
      <w:r w:rsidR="008D56D2" w:rsidRPr="00A265E8">
        <w:rPr>
          <w:color w:val="000000"/>
          <w:sz w:val="28"/>
          <w:szCs w:val="28"/>
        </w:rPr>
        <w:t>вается по ставкам, утвержденным р</w:t>
      </w:r>
      <w:r w:rsidR="008D56D2" w:rsidRPr="00A265E8">
        <w:rPr>
          <w:sz w:val="28"/>
          <w:szCs w:val="28"/>
        </w:rPr>
        <w:t xml:space="preserve">ешениями Совета </w:t>
      </w:r>
      <w:r w:rsidR="008D56D2" w:rsidRPr="003319D5">
        <w:rPr>
          <w:sz w:val="28"/>
          <w:szCs w:val="28"/>
        </w:rPr>
        <w:t>Новотаманского</w:t>
      </w:r>
      <w:r w:rsidR="008D56D2" w:rsidRPr="00A265E8">
        <w:rPr>
          <w:sz w:val="28"/>
          <w:szCs w:val="28"/>
        </w:rPr>
        <w:t xml:space="preserve"> сельск</w:t>
      </w:r>
      <w:r w:rsidR="008D56D2" w:rsidRPr="00A265E8">
        <w:rPr>
          <w:sz w:val="28"/>
          <w:szCs w:val="28"/>
        </w:rPr>
        <w:t>о</w:t>
      </w:r>
      <w:r w:rsidR="008D56D2" w:rsidRPr="00A265E8">
        <w:rPr>
          <w:sz w:val="28"/>
          <w:szCs w:val="28"/>
        </w:rPr>
        <w:t>го поселения Темрюкского района в зависимости от категории земель и кадас</w:t>
      </w:r>
      <w:r w:rsidR="008D56D2" w:rsidRPr="00A265E8">
        <w:rPr>
          <w:sz w:val="28"/>
          <w:szCs w:val="28"/>
        </w:rPr>
        <w:t>т</w:t>
      </w:r>
      <w:r w:rsidR="008D56D2" w:rsidRPr="00A265E8">
        <w:rPr>
          <w:sz w:val="28"/>
          <w:szCs w:val="28"/>
        </w:rPr>
        <w:t>ровой стоимости земельного участка. В бюджет Поселения зачисляется 100% от исчисленного нал</w:t>
      </w:r>
      <w:r w:rsidR="008D56D2" w:rsidRPr="00A265E8">
        <w:rPr>
          <w:sz w:val="28"/>
          <w:szCs w:val="28"/>
        </w:rPr>
        <w:t>о</w:t>
      </w:r>
      <w:r w:rsidR="008D56D2" w:rsidRPr="00A265E8">
        <w:rPr>
          <w:sz w:val="28"/>
          <w:szCs w:val="28"/>
        </w:rPr>
        <w:t xml:space="preserve">га. </w:t>
      </w:r>
      <w:r w:rsidR="008D56D2">
        <w:rPr>
          <w:sz w:val="28"/>
          <w:szCs w:val="28"/>
        </w:rPr>
        <w:t xml:space="preserve">Земельный налог уменьшился в 2022 году </w:t>
      </w:r>
      <w:r w:rsidR="008D56D2" w:rsidRPr="000A372E">
        <w:rPr>
          <w:sz w:val="28"/>
          <w:szCs w:val="28"/>
        </w:rPr>
        <w:t xml:space="preserve">на </w:t>
      </w:r>
      <w:r w:rsidR="008D56D2">
        <w:rPr>
          <w:sz w:val="28"/>
          <w:szCs w:val="28"/>
        </w:rPr>
        <w:t xml:space="preserve">5,8 </w:t>
      </w:r>
      <w:r w:rsidR="008D56D2" w:rsidRPr="000A372E">
        <w:rPr>
          <w:sz w:val="28"/>
          <w:szCs w:val="28"/>
        </w:rPr>
        <w:t>%</w:t>
      </w:r>
      <w:r w:rsidR="008D56D2">
        <w:rPr>
          <w:sz w:val="28"/>
          <w:szCs w:val="28"/>
        </w:rPr>
        <w:t xml:space="preserve"> по отношению к 2021 году. Это связано с </w:t>
      </w:r>
      <w:r w:rsidR="00DA7D84">
        <w:rPr>
          <w:sz w:val="28"/>
          <w:szCs w:val="28"/>
        </w:rPr>
        <w:t>изменением назначения</w:t>
      </w:r>
      <w:r w:rsidR="008D56D2">
        <w:rPr>
          <w:sz w:val="28"/>
          <w:szCs w:val="28"/>
        </w:rPr>
        <w:t xml:space="preserve"> </w:t>
      </w:r>
      <w:r w:rsidR="00DA7D84">
        <w:rPr>
          <w:sz w:val="28"/>
          <w:szCs w:val="28"/>
        </w:rPr>
        <w:t>использования</w:t>
      </w:r>
      <w:r w:rsidR="008D56D2">
        <w:rPr>
          <w:sz w:val="28"/>
          <w:szCs w:val="28"/>
        </w:rPr>
        <w:t xml:space="preserve"> з</w:t>
      </w:r>
      <w:r w:rsidR="008D56D2">
        <w:rPr>
          <w:sz w:val="28"/>
          <w:szCs w:val="28"/>
        </w:rPr>
        <w:t>е</w:t>
      </w:r>
      <w:r w:rsidR="008D56D2">
        <w:rPr>
          <w:sz w:val="28"/>
          <w:szCs w:val="28"/>
        </w:rPr>
        <w:t xml:space="preserve">мельных участков. </w:t>
      </w:r>
    </w:p>
    <w:p w:rsidR="008D56D2" w:rsidRDefault="008D56D2" w:rsidP="008D56D2">
      <w:pPr>
        <w:ind w:firstLine="567"/>
        <w:jc w:val="both"/>
        <w:rPr>
          <w:sz w:val="28"/>
          <w:szCs w:val="28"/>
        </w:rPr>
      </w:pPr>
      <w:r w:rsidRPr="00A265E8">
        <w:rPr>
          <w:color w:val="000000"/>
          <w:sz w:val="28"/>
          <w:szCs w:val="28"/>
        </w:rPr>
        <w:t>Показатель налогового потенциала по налогу на имущество физических лиц рассчитывается по ставкам, утвержденным р</w:t>
      </w:r>
      <w:r w:rsidRPr="00A265E8">
        <w:rPr>
          <w:sz w:val="28"/>
          <w:szCs w:val="28"/>
        </w:rPr>
        <w:t xml:space="preserve">ешениями Совета </w:t>
      </w:r>
      <w:r w:rsidR="00DA7D84" w:rsidRPr="003319D5">
        <w:rPr>
          <w:sz w:val="28"/>
          <w:szCs w:val="28"/>
        </w:rPr>
        <w:t>Новотама</w:t>
      </w:r>
      <w:r w:rsidR="00DA7D84" w:rsidRPr="003319D5">
        <w:rPr>
          <w:sz w:val="28"/>
          <w:szCs w:val="28"/>
        </w:rPr>
        <w:t>н</w:t>
      </w:r>
      <w:r w:rsidR="00DA7D84" w:rsidRPr="003319D5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A265E8">
        <w:rPr>
          <w:sz w:val="28"/>
          <w:szCs w:val="28"/>
        </w:rPr>
        <w:t>сельского поселения Темрюкского района исходя из кадастровой стоим</w:t>
      </w:r>
      <w:r w:rsidRPr="00A265E8">
        <w:rPr>
          <w:sz w:val="28"/>
          <w:szCs w:val="28"/>
        </w:rPr>
        <w:t>о</w:t>
      </w:r>
      <w:r w:rsidRPr="00A265E8">
        <w:rPr>
          <w:sz w:val="28"/>
          <w:szCs w:val="28"/>
        </w:rPr>
        <w:t>сти объектов налогообложения в соответствии с Налоговым Кодексом Росси</w:t>
      </w:r>
      <w:r w:rsidRPr="00A265E8">
        <w:rPr>
          <w:sz w:val="28"/>
          <w:szCs w:val="28"/>
        </w:rPr>
        <w:t>й</w:t>
      </w:r>
      <w:r w:rsidRPr="00A265E8">
        <w:rPr>
          <w:sz w:val="28"/>
          <w:szCs w:val="28"/>
        </w:rPr>
        <w:t>ской Федерации.</w:t>
      </w:r>
      <w:r w:rsidRPr="007A61DB">
        <w:rPr>
          <w:sz w:val="28"/>
          <w:szCs w:val="28"/>
        </w:rPr>
        <w:t xml:space="preserve"> </w:t>
      </w:r>
      <w:r w:rsidRPr="00A265E8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п</w:t>
      </w:r>
      <w:r w:rsidRPr="00A265E8">
        <w:rPr>
          <w:sz w:val="28"/>
          <w:szCs w:val="28"/>
        </w:rPr>
        <w:t>оселения зачисляется 100% от исчисленного нал</w:t>
      </w:r>
      <w:r w:rsidRPr="00A265E8">
        <w:rPr>
          <w:sz w:val="28"/>
          <w:szCs w:val="28"/>
        </w:rPr>
        <w:t>о</w:t>
      </w:r>
      <w:r w:rsidRPr="00A265E8">
        <w:rPr>
          <w:sz w:val="28"/>
          <w:szCs w:val="28"/>
        </w:rPr>
        <w:t>га</w:t>
      </w:r>
      <w:r>
        <w:rPr>
          <w:sz w:val="28"/>
          <w:szCs w:val="28"/>
        </w:rPr>
        <w:t xml:space="preserve">. </w:t>
      </w:r>
      <w:r w:rsidRPr="00146D9B">
        <w:rPr>
          <w:sz w:val="28"/>
          <w:szCs w:val="28"/>
        </w:rPr>
        <w:t xml:space="preserve">В основу расчета поступления </w:t>
      </w:r>
      <w:r>
        <w:rPr>
          <w:sz w:val="28"/>
          <w:szCs w:val="28"/>
        </w:rPr>
        <w:t xml:space="preserve">имущественных </w:t>
      </w:r>
      <w:r w:rsidRPr="00146D9B">
        <w:rPr>
          <w:sz w:val="28"/>
          <w:szCs w:val="28"/>
        </w:rPr>
        <w:t>налог</w:t>
      </w:r>
      <w:r>
        <w:rPr>
          <w:sz w:val="28"/>
          <w:szCs w:val="28"/>
        </w:rPr>
        <w:t xml:space="preserve">ов </w:t>
      </w:r>
      <w:r w:rsidRPr="00146D9B">
        <w:rPr>
          <w:sz w:val="28"/>
          <w:szCs w:val="28"/>
        </w:rPr>
        <w:t>приняты да</w:t>
      </w:r>
      <w:r w:rsidRPr="00146D9B">
        <w:rPr>
          <w:sz w:val="28"/>
          <w:szCs w:val="28"/>
        </w:rPr>
        <w:t>н</w:t>
      </w:r>
      <w:r w:rsidRPr="00146D9B">
        <w:rPr>
          <w:sz w:val="28"/>
          <w:szCs w:val="28"/>
        </w:rPr>
        <w:t>ные ИФНС по Темрюкскому району об объеме налоговой базы и налог</w:t>
      </w:r>
      <w:r w:rsidRPr="00146D9B">
        <w:rPr>
          <w:sz w:val="28"/>
          <w:szCs w:val="28"/>
        </w:rPr>
        <w:t>о</w:t>
      </w:r>
      <w:r w:rsidRPr="00146D9B">
        <w:rPr>
          <w:sz w:val="28"/>
          <w:szCs w:val="28"/>
        </w:rPr>
        <w:t>вых льгот, а также оценка погашения задолженности по нал</w:t>
      </w:r>
      <w:r w:rsidRPr="00146D9B">
        <w:rPr>
          <w:sz w:val="28"/>
          <w:szCs w:val="28"/>
        </w:rPr>
        <w:t>о</w:t>
      </w:r>
      <w:r w:rsidRPr="00146D9B">
        <w:rPr>
          <w:sz w:val="28"/>
          <w:szCs w:val="28"/>
        </w:rPr>
        <w:t>г</w:t>
      </w:r>
      <w:r>
        <w:rPr>
          <w:sz w:val="28"/>
          <w:szCs w:val="28"/>
        </w:rPr>
        <w:t>ам</w:t>
      </w:r>
      <w:r w:rsidRPr="00EE4B71">
        <w:rPr>
          <w:sz w:val="28"/>
          <w:szCs w:val="28"/>
        </w:rPr>
        <w:t>.</w:t>
      </w:r>
    </w:p>
    <w:p w:rsidR="008D56D2" w:rsidRPr="00A265E8" w:rsidRDefault="008D56D2" w:rsidP="008D56D2">
      <w:pPr>
        <w:shd w:val="clear" w:color="auto" w:fill="FFFFFF"/>
        <w:ind w:firstLine="851"/>
        <w:jc w:val="both"/>
        <w:rPr>
          <w:sz w:val="28"/>
          <w:szCs w:val="28"/>
        </w:rPr>
      </w:pPr>
      <w:r w:rsidRPr="00A265E8">
        <w:rPr>
          <w:color w:val="000000"/>
          <w:sz w:val="28"/>
          <w:szCs w:val="28"/>
        </w:rPr>
        <w:t>Показатель налогового потенциала по единому сельскохозяйственному налогу (ЕСХН) рассчитывается по нормативу 50% от суммы ЕСХН, исчисле</w:t>
      </w:r>
      <w:r w:rsidRPr="00A265E8">
        <w:rPr>
          <w:color w:val="000000"/>
          <w:sz w:val="28"/>
          <w:szCs w:val="28"/>
        </w:rPr>
        <w:t>н</w:t>
      </w:r>
      <w:r w:rsidRPr="00A265E8">
        <w:rPr>
          <w:color w:val="000000"/>
          <w:sz w:val="28"/>
          <w:szCs w:val="28"/>
        </w:rPr>
        <w:t xml:space="preserve">ного от доходов плательщиков налога по ставке 6%, утвержденной </w:t>
      </w:r>
      <w:r w:rsidRPr="00A265E8">
        <w:rPr>
          <w:sz w:val="28"/>
          <w:szCs w:val="28"/>
        </w:rPr>
        <w:t>Налоговым К</w:t>
      </w:r>
      <w:r w:rsidRPr="00A265E8">
        <w:rPr>
          <w:sz w:val="28"/>
          <w:szCs w:val="28"/>
        </w:rPr>
        <w:t>о</w:t>
      </w:r>
      <w:r w:rsidRPr="00A265E8">
        <w:rPr>
          <w:sz w:val="28"/>
          <w:szCs w:val="28"/>
        </w:rPr>
        <w:t xml:space="preserve">дексом Российской Федерации. </w:t>
      </w:r>
    </w:p>
    <w:p w:rsidR="00302FD8" w:rsidRPr="00DA7D84" w:rsidRDefault="00302FD8" w:rsidP="00302FD8">
      <w:pPr>
        <w:ind w:firstLine="708"/>
        <w:jc w:val="both"/>
        <w:rPr>
          <w:b/>
          <w:sz w:val="28"/>
          <w:szCs w:val="28"/>
        </w:rPr>
      </w:pPr>
      <w:r w:rsidRPr="00DA7D84">
        <w:rPr>
          <w:sz w:val="28"/>
          <w:szCs w:val="28"/>
        </w:rPr>
        <w:t>Прогнозирование налоговых и неналоговых поступлений направлено на увеличение объёма налоговых поступлений в бюджет поселения и, соответс</w:t>
      </w:r>
      <w:r w:rsidRPr="00DA7D84">
        <w:rPr>
          <w:sz w:val="28"/>
          <w:szCs w:val="28"/>
        </w:rPr>
        <w:t>т</w:t>
      </w:r>
      <w:r w:rsidRPr="00DA7D84">
        <w:rPr>
          <w:sz w:val="28"/>
          <w:szCs w:val="28"/>
        </w:rPr>
        <w:t>венно, увеличения бюджетных ассигнований направленных на развитие соц</w:t>
      </w:r>
      <w:r w:rsidRPr="00DA7D84">
        <w:rPr>
          <w:sz w:val="28"/>
          <w:szCs w:val="28"/>
        </w:rPr>
        <w:t>и</w:t>
      </w:r>
      <w:r w:rsidRPr="00DA7D84">
        <w:rPr>
          <w:sz w:val="28"/>
          <w:szCs w:val="28"/>
        </w:rPr>
        <w:t>альной инфраструктуры Новот</w:t>
      </w:r>
      <w:r w:rsidRPr="00DA7D84">
        <w:rPr>
          <w:sz w:val="28"/>
          <w:szCs w:val="28"/>
        </w:rPr>
        <w:t>а</w:t>
      </w:r>
      <w:r w:rsidRPr="00DA7D84">
        <w:rPr>
          <w:sz w:val="28"/>
          <w:szCs w:val="28"/>
        </w:rPr>
        <w:t xml:space="preserve">манского сельского поселения. </w:t>
      </w:r>
    </w:p>
    <w:p w:rsidR="003319D5" w:rsidRPr="00DA687D" w:rsidRDefault="003319D5" w:rsidP="003319D5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687D">
        <w:rPr>
          <w:sz w:val="28"/>
          <w:szCs w:val="28"/>
        </w:rPr>
        <w:t xml:space="preserve"> целом</w:t>
      </w:r>
      <w:r>
        <w:rPr>
          <w:sz w:val="28"/>
          <w:szCs w:val="28"/>
        </w:rPr>
        <w:t>,</w:t>
      </w:r>
      <w:r w:rsidRPr="00DA687D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ожидаемый прогноз</w:t>
      </w:r>
      <w:r w:rsidRPr="00DA687D">
        <w:rPr>
          <w:sz w:val="28"/>
          <w:szCs w:val="28"/>
        </w:rPr>
        <w:t xml:space="preserve"> социально-экономического развития </w:t>
      </w:r>
      <w:r w:rsidRPr="003319D5">
        <w:rPr>
          <w:bCs/>
          <w:sz w:val="28"/>
          <w:szCs w:val="28"/>
        </w:rPr>
        <w:t>Нов</w:t>
      </w:r>
      <w:r w:rsidRPr="003319D5">
        <w:rPr>
          <w:bCs/>
          <w:sz w:val="28"/>
          <w:szCs w:val="28"/>
        </w:rPr>
        <w:t>о</w:t>
      </w:r>
      <w:r w:rsidRPr="003319D5">
        <w:rPr>
          <w:bCs/>
          <w:sz w:val="28"/>
          <w:szCs w:val="28"/>
        </w:rPr>
        <w:t>таманского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DA687D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DA687D">
        <w:rPr>
          <w:sz w:val="28"/>
          <w:szCs w:val="28"/>
        </w:rPr>
        <w:t xml:space="preserve"> году характер</w:t>
      </w:r>
      <w:r w:rsidRPr="00DA687D">
        <w:rPr>
          <w:sz w:val="28"/>
          <w:szCs w:val="28"/>
        </w:rPr>
        <w:t>и</w:t>
      </w:r>
      <w:r w:rsidRPr="00DA687D">
        <w:rPr>
          <w:sz w:val="28"/>
          <w:szCs w:val="28"/>
        </w:rPr>
        <w:t xml:space="preserve">зуются </w:t>
      </w:r>
      <w:r>
        <w:rPr>
          <w:sz w:val="28"/>
          <w:szCs w:val="28"/>
        </w:rPr>
        <w:t xml:space="preserve">стабильным положением основных </w:t>
      </w:r>
      <w:r w:rsidRPr="00DA687D">
        <w:rPr>
          <w:sz w:val="28"/>
          <w:szCs w:val="28"/>
        </w:rPr>
        <w:t xml:space="preserve">отраслей </w:t>
      </w:r>
      <w:r>
        <w:rPr>
          <w:sz w:val="28"/>
          <w:szCs w:val="28"/>
        </w:rPr>
        <w:t>хозяйственного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плекса поселения. </w:t>
      </w:r>
    </w:p>
    <w:p w:rsidR="00450A02" w:rsidRDefault="00450A02" w:rsidP="006309DB">
      <w:pPr>
        <w:rPr>
          <w:b/>
          <w:sz w:val="28"/>
          <w:szCs w:val="28"/>
        </w:rPr>
      </w:pPr>
    </w:p>
    <w:p w:rsidR="00D764B0" w:rsidRPr="00D764B0" w:rsidRDefault="00D764B0" w:rsidP="006309DB">
      <w:pPr>
        <w:rPr>
          <w:sz w:val="28"/>
          <w:szCs w:val="28"/>
        </w:rPr>
      </w:pPr>
      <w:r w:rsidRPr="00D764B0">
        <w:rPr>
          <w:sz w:val="28"/>
          <w:szCs w:val="28"/>
        </w:rPr>
        <w:t xml:space="preserve">Глава Новотаманского </w:t>
      </w:r>
    </w:p>
    <w:p w:rsidR="00450A02" w:rsidRPr="00D764B0" w:rsidRDefault="00D764B0" w:rsidP="006309DB">
      <w:pPr>
        <w:rPr>
          <w:sz w:val="28"/>
          <w:szCs w:val="28"/>
        </w:rPr>
      </w:pPr>
      <w:r w:rsidRPr="00D764B0">
        <w:rPr>
          <w:sz w:val="28"/>
          <w:szCs w:val="28"/>
        </w:rPr>
        <w:t xml:space="preserve">сельского поселения                                      </w:t>
      </w:r>
      <w:r>
        <w:rPr>
          <w:sz w:val="28"/>
          <w:szCs w:val="28"/>
        </w:rPr>
        <w:t xml:space="preserve">       </w:t>
      </w:r>
      <w:r w:rsidRPr="00D764B0">
        <w:rPr>
          <w:sz w:val="28"/>
          <w:szCs w:val="28"/>
        </w:rPr>
        <w:t xml:space="preserve">                                 </w:t>
      </w:r>
      <w:r w:rsidR="00FF6228">
        <w:rPr>
          <w:sz w:val="28"/>
          <w:szCs w:val="28"/>
        </w:rPr>
        <w:t>А.Д. Гуменюк</w:t>
      </w:r>
    </w:p>
    <w:sectPr w:rsidR="00450A02" w:rsidRPr="00D764B0" w:rsidSect="00C340A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67E" w:rsidRDefault="00C0767E">
      <w:r>
        <w:separator/>
      </w:r>
    </w:p>
  </w:endnote>
  <w:endnote w:type="continuationSeparator" w:id="1">
    <w:p w:rsidR="00C0767E" w:rsidRDefault="00C07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67E" w:rsidRDefault="00C0767E">
      <w:r>
        <w:separator/>
      </w:r>
    </w:p>
  </w:footnote>
  <w:footnote w:type="continuationSeparator" w:id="1">
    <w:p w:rsidR="00C0767E" w:rsidRDefault="00C07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228" w:rsidRDefault="00FF622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228" w:rsidRDefault="00FF62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228" w:rsidRDefault="00FF622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917">
      <w:rPr>
        <w:rStyle w:val="a5"/>
        <w:noProof/>
      </w:rPr>
      <w:t>4</w:t>
    </w:r>
    <w:r>
      <w:rPr>
        <w:rStyle w:val="a5"/>
      </w:rPr>
      <w:fldChar w:fldCharType="end"/>
    </w:r>
  </w:p>
  <w:p w:rsidR="00FF6228" w:rsidRDefault="00FF62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567"/>
  <w:doNotHyphenateCaps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69ED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17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5549C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37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CE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22D0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09D0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1CD1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2FD8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19D5"/>
    <w:rsid w:val="0033369F"/>
    <w:rsid w:val="00333E4C"/>
    <w:rsid w:val="0033425F"/>
    <w:rsid w:val="0033439B"/>
    <w:rsid w:val="00334431"/>
    <w:rsid w:val="00337CE1"/>
    <w:rsid w:val="003420DC"/>
    <w:rsid w:val="003433CB"/>
    <w:rsid w:val="00344125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3B0"/>
    <w:rsid w:val="00381B93"/>
    <w:rsid w:val="00382808"/>
    <w:rsid w:val="0038302C"/>
    <w:rsid w:val="0038437A"/>
    <w:rsid w:val="00384B4D"/>
    <w:rsid w:val="00384FE6"/>
    <w:rsid w:val="00385F95"/>
    <w:rsid w:val="003916FC"/>
    <w:rsid w:val="00391C98"/>
    <w:rsid w:val="00394E19"/>
    <w:rsid w:val="00395E24"/>
    <w:rsid w:val="003966D9"/>
    <w:rsid w:val="003A040C"/>
    <w:rsid w:val="003A0E63"/>
    <w:rsid w:val="003A2493"/>
    <w:rsid w:val="003A2649"/>
    <w:rsid w:val="003A2885"/>
    <w:rsid w:val="003A5FFA"/>
    <w:rsid w:val="003A7050"/>
    <w:rsid w:val="003A71C3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3F56B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2172"/>
    <w:rsid w:val="004668AA"/>
    <w:rsid w:val="004677F3"/>
    <w:rsid w:val="00472C3A"/>
    <w:rsid w:val="004733E3"/>
    <w:rsid w:val="004848CF"/>
    <w:rsid w:val="00484926"/>
    <w:rsid w:val="00484DA3"/>
    <w:rsid w:val="00487F59"/>
    <w:rsid w:val="004916B8"/>
    <w:rsid w:val="00491D3B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28BB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2997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228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E7592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737E4"/>
    <w:rsid w:val="0068024C"/>
    <w:rsid w:val="00685AEE"/>
    <w:rsid w:val="00686043"/>
    <w:rsid w:val="0069050A"/>
    <w:rsid w:val="00690801"/>
    <w:rsid w:val="00696256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36BD3"/>
    <w:rsid w:val="007401DB"/>
    <w:rsid w:val="00740AD4"/>
    <w:rsid w:val="00743AEA"/>
    <w:rsid w:val="00745352"/>
    <w:rsid w:val="0074636D"/>
    <w:rsid w:val="00746F19"/>
    <w:rsid w:val="00746F21"/>
    <w:rsid w:val="00747A21"/>
    <w:rsid w:val="0075246A"/>
    <w:rsid w:val="0075284A"/>
    <w:rsid w:val="00753821"/>
    <w:rsid w:val="00760796"/>
    <w:rsid w:val="0076192A"/>
    <w:rsid w:val="007641EB"/>
    <w:rsid w:val="0076446E"/>
    <w:rsid w:val="0076470A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C32D0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5645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29B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D56D2"/>
    <w:rsid w:val="008D75FE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0436"/>
    <w:rsid w:val="0093128D"/>
    <w:rsid w:val="009326B4"/>
    <w:rsid w:val="00932F00"/>
    <w:rsid w:val="0093519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4A33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6CF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009F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34A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0767E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0AE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05DC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165C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566D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3AA1"/>
    <w:rsid w:val="00D4484D"/>
    <w:rsid w:val="00D45135"/>
    <w:rsid w:val="00D4593A"/>
    <w:rsid w:val="00D460B3"/>
    <w:rsid w:val="00D46D77"/>
    <w:rsid w:val="00D47265"/>
    <w:rsid w:val="00D521EA"/>
    <w:rsid w:val="00D55672"/>
    <w:rsid w:val="00D56CB5"/>
    <w:rsid w:val="00D601D1"/>
    <w:rsid w:val="00D6437D"/>
    <w:rsid w:val="00D66415"/>
    <w:rsid w:val="00D712DB"/>
    <w:rsid w:val="00D71933"/>
    <w:rsid w:val="00D74B6C"/>
    <w:rsid w:val="00D764B0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A7D84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4760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47C4E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BC3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171A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9140A"/>
    <w:rsid w:val="00FA27C8"/>
    <w:rsid w:val="00FA373E"/>
    <w:rsid w:val="00FA3C49"/>
    <w:rsid w:val="00FB3A96"/>
    <w:rsid w:val="00FB4F8F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  <w:rsid w:val="00FF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3787</TotalTime>
  <Pages>1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30</cp:revision>
  <cp:lastPrinted>2021-12-15T05:26:00Z</cp:lastPrinted>
  <dcterms:created xsi:type="dcterms:W3CDTF">2010-11-17T06:20:00Z</dcterms:created>
  <dcterms:modified xsi:type="dcterms:W3CDTF">2022-10-25T13:21:00Z</dcterms:modified>
</cp:coreProperties>
</file>